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6" w:name="X2a43ca18aeab2cfc3587900a827491287fd15a6"/>
    <w:p>
      <w:pPr>
        <w:pStyle w:val="Heading1"/>
      </w:pPr>
      <w:r>
        <w:t xml:space="preserve">Arquitecto Experto en WordPress Moderno — Módulo 0, glosario e índice</w:t>
      </w:r>
    </w:p>
    <w:p>
      <w:pPr>
        <w:pStyle w:val="FirstParagraph"/>
      </w:pPr>
      <w:r>
        <w:t xml:space="preserve">Versión 2 (reescrita). Fecha: 15 de octubre de 2026. Origen: informe generado con Gemini, reescrito y alineado con la filosofía del proyecto y con los documentos</w:t>
      </w:r>
      <w:r>
        <w:t xml:space="preserve"> </w:t>
      </w:r>
      <w:r>
        <w:rPr>
          <w:rStyle w:val="VerbatimChar"/>
        </w:rPr>
        <w:t xml:space="preserve">fundamentos-wordpress-basico.md</w:t>
      </w:r>
      <w:r>
        <w:t xml:space="preserve"> </w:t>
      </w:r>
      <w:r>
        <w:t xml:space="preserve">y</w:t>
      </w:r>
      <w:r>
        <w:t xml:space="preserve"> </w:t>
      </w:r>
      <w:r>
        <w:rPr>
          <w:rStyle w:val="VerbatimChar"/>
        </w:rPr>
        <w:t xml:space="preserve">fundamentos-wordpress-avanzado.md</w:t>
      </w:r>
      <w:r>
        <w:t xml:space="preserve">. Esta versión no cita todavía ninguna metodología concreta: recoge su sustancia (reglas, flujo de trabajo, gobernanza y estado real) como formación genérica de un arquitecto de WordPress moderno asistido por agentes de IA.</w:t>
      </w:r>
    </w:p>
    <w:p>
      <w:pPr>
        <w:pStyle w:val="BodyText"/>
      </w:pPr>
      <w:r>
        <w:t xml:space="preserve">Estado de referencia de las piezas oficiales: el de</w:t>
      </w:r>
      <w:r>
        <w:t xml:space="preserve"> </w:t>
      </w:r>
      <w:r>
        <w:rPr>
          <w:rStyle w:val="VerbatimChar"/>
        </w:rPr>
        <w:t xml:space="preserve">fundamentos-wordpress-avanzado.md</w:t>
      </w:r>
      <w:r>
        <w:t xml:space="preserve"> </w:t>
      </w:r>
      <w:r>
        <w:t xml:space="preserve">(8 de octubre de 2026). Cualquier afirmación sobre versiones debe revisarse antes de impartir (ver sección 7).</w:t>
      </w:r>
    </w:p>
    <w:bookmarkStart w:id="20" w:name="X8daee2ce5c954ad401bfa47a1a6b4b30f736907"/>
    <w:p>
      <w:pPr>
        <w:pStyle w:val="Heading2"/>
      </w:pPr>
      <w:r>
        <w:t xml:space="preserve">1. Propósito y perfil</w:t>
      </w:r>
    </w:p>
    <w:p>
      <w:pPr>
        <w:pStyle w:val="FirstParagraph"/>
      </w:pPr>
      <w:r>
        <w:t xml:space="preserve">Un</w:t>
      </w:r>
      <w:r>
        <w:t xml:space="preserve"> </w:t>
      </w:r>
      <w:r>
        <w:rPr>
          <w:bCs/>
          <w:b/>
        </w:rPr>
        <w:t xml:space="preserve">Arquitecto Experto en WordPress Moderno</w:t>
      </w:r>
      <w:r>
        <w:t xml:space="preserve"> </w:t>
      </w:r>
      <w:r>
        <w:t xml:space="preserve">es quien decide</w:t>
      </w:r>
      <w:r>
        <w:t xml:space="preserve"> </w:t>
      </w:r>
      <w:r>
        <w:rPr>
          <w:iCs/>
          <w:i/>
        </w:rPr>
        <w:t xml:space="preserve">cómo</w:t>
      </w:r>
      <w:r>
        <w:t xml:space="preserve"> </w:t>
      </w:r>
      <w:r>
        <w:t xml:space="preserve">se construye y se mantiene un sitio —qué herramienta nativa usar en cada caso, qué se deja a un agente de IA y qué exige validación humana— y no solo quien escribe código. Esta formación le da tres capacidades:</w:t>
      </w:r>
    </w:p>
    <w:p>
      <w:pPr>
        <w:numPr>
          <w:ilvl w:val="0"/>
          <w:numId w:val="1001"/>
        </w:numPr>
        <w:pStyle w:val="Compact"/>
      </w:pPr>
      <w:r>
        <w:t xml:space="preserve">Criterio técnico: elegir siempre la solución más nativa, ligera y mantenible que WordPress ofrece hoy.</w:t>
      </w:r>
    </w:p>
    <w:p>
      <w:pPr>
        <w:numPr>
          <w:ilvl w:val="0"/>
          <w:numId w:val="1001"/>
        </w:numPr>
        <w:pStyle w:val="Compact"/>
      </w:pPr>
      <w:r>
        <w:t xml:space="preserve">Dirección de agentes: dar a un agente de IA las reglas, el contexto y los límites para que trabaje como un profesional y no como un programador novato que busca atajos.</w:t>
      </w:r>
    </w:p>
    <w:p>
      <w:pPr>
        <w:numPr>
          <w:ilvl w:val="0"/>
          <w:numId w:val="1001"/>
        </w:numPr>
        <w:pStyle w:val="Compact"/>
      </w:pPr>
      <w:r>
        <w:t xml:space="preserve">Gobierno: saber qué verificar, qué pedir confirmación explícita y cuándo no se puede afirmar que algo está terminado.</w:t>
      </w:r>
    </w:p>
    <w:bookmarkEnd w:id="20"/>
    <w:bookmarkStart w:id="28" w:name="X21afd5041ddfc47273c728bbb07d037ac689f96"/>
    <w:p>
      <w:pPr>
        <w:pStyle w:val="Heading2"/>
      </w:pPr>
      <w:r>
        <w:t xml:space="preserve">2. Módulo 0 — Principios del WordPress moderno</w:t>
      </w:r>
    </w:p>
    <w:bookmarkStart w:id="21" w:name="X509d5b1b8ee289c851129920e27b78ddd5e3c93"/>
    <w:p>
      <w:pPr>
        <w:pStyle w:val="Heading3"/>
      </w:pPr>
      <w:r>
        <w:t xml:space="preserve">2.1 De gestor de blogs a framework</w:t>
      </w:r>
    </w:p>
    <w:p>
      <w:pPr>
        <w:pStyle w:val="FirstParagraph"/>
      </w:pPr>
      <w:r>
        <w:t xml:space="preserve">WordPress dejó de ser un gestor de blogs. Con el editor de bloques (Gutenberg), la edición completa del sitio (FSE) y sus APIs nativas, es una infraestructura estandarizada —usuarios, contenido, rutas, permisos, editor— sobre la que se construye casi cualquier tipo de sitio: corporativo, tienda, academia, directorio, intranet o arquitectura headless. Para que una persona o un agente trabaje de forma predecible y sin generar deuda técnica, debe respetar ese estándar en vez de rodearlo.</w:t>
      </w:r>
    </w:p>
    <w:bookmarkEnd w:id="21"/>
    <w:bookmarkStart w:id="22" w:name="Xc4d32a862fb1814733370e0142f6a92f363178e"/>
    <w:p>
      <w:pPr>
        <w:pStyle w:val="Heading3"/>
      </w:pPr>
      <w:r>
        <w:t xml:space="preserve">2.2 La jerarquía de decisión (orden de preferencia)</w:t>
      </w:r>
    </w:p>
    <w:p>
      <w:pPr>
        <w:pStyle w:val="FirstParagraph"/>
      </w:pPr>
      <w:r>
        <w:t xml:space="preserve">Ante cualquier necesidad se recorre este orden y solo se baja un escalón cuando el anterior no alcanza. Es el criterio central del arquitecto:</w:t>
      </w:r>
    </w:p>
    <w:tbl>
      <w:tblPr>
        <w:tblStyle w:val="Table"/>
        <w:tblLook w:firstRow="1" w:lastRow="0" w:firstColumn="0" w:lastColumn="0" w:noHBand="0" w:noVBand="0" w:val="0020"/>
        <w:jc w:val="start"/>
        <w:tblBorders>
          <w:top w:val="single" w:sz="4" w:color="D9D2C3"/>
          <w:left w:val="single" w:sz="4" w:color="D9D2C3"/>
          <w:bottom w:val="single" w:sz="4" w:color="D9D2C3"/>
          <w:right w:val="single" w:sz="4" w:color="D9D2C3"/>
          <w:insideH w:val="single" w:sz="4" w:color="D9D2C3"/>
          <w:insideV w:val="single" w:sz="4" w:color="D9D2C3"/>
        </w:tblBorders>
        <w:tblW w:w="5000" w:type="pct"/>
        <w:tblLayout w:type="fixed"/>
      </w:tblPr>
      <w:tblGrid>
        <w:gridCol w:w="1020"/>
        <w:gridCol w:w="2381"/>
        <w:gridCol w:w="2040"/>
        <w:gridCol w:w="4195"/>
      </w:tblGrid>
      <w:tr>
        <w:trPr>
          <w:tblHeader w:val="true"/>
        </w:trPr>
        <w:tc>
          <w:tcPr>
            <w:tcW w:type="dxa" w:w="1020"/>
            <w:shd w:val="clear" w:fill="F3EFE8"/>
            <w:tcMar>
              <w:top w:w="60" w:type="dxa"/>
              <w:bottom w:w="60" w:type="dxa"/>
              <w:left w:w="100" w:type="dxa"/>
              <w:right w:w="100" w:type="dxa"/>
            </w:tcMar>
          </w:tcPr>
          <w:p>
            <w:pPr>
              <w:pStyle w:val="Compact"/>
              <w:jc w:val="left"/>
            </w:pPr>
            <w:r>
              <w:rPr>
                <w:b/>
                <w:sz w:val="19"/>
              </w:rPr>
              <w:t xml:space="preserve">Orden</w:t>
            </w:r>
          </w:p>
        </w:tc>
        <w:tc>
          <w:tcPr>
            <w:tcW w:type="dxa" w:w="2381"/>
            <w:shd w:val="clear" w:fill="F3EFE8"/>
            <w:tcMar>
              <w:top w:w="60" w:type="dxa"/>
              <w:bottom w:w="60" w:type="dxa"/>
              <w:left w:w="100" w:type="dxa"/>
              <w:right w:w="100" w:type="dxa"/>
            </w:tcMar>
          </w:tcPr>
          <w:p>
            <w:pPr>
              <w:pStyle w:val="Compact"/>
              <w:jc w:val="left"/>
            </w:pPr>
            <w:r>
              <w:rPr>
                <w:b/>
                <w:sz w:val="19"/>
              </w:rPr>
              <w:t xml:space="preserve">Preferir</w:t>
            </w:r>
          </w:p>
        </w:tc>
        <w:tc>
          <w:tcPr>
            <w:tcW w:type="dxa" w:w="2041"/>
            <w:shd w:val="clear" w:fill="F3EFE8"/>
            <w:tcMar>
              <w:top w:w="60" w:type="dxa"/>
              <w:bottom w:w="60" w:type="dxa"/>
              <w:left w:w="100" w:type="dxa"/>
              <w:right w:w="100" w:type="dxa"/>
            </w:tcMar>
          </w:tcPr>
          <w:p>
            <w:pPr>
              <w:pStyle w:val="Compact"/>
              <w:jc w:val="left"/>
            </w:pPr>
            <w:r>
              <w:rPr>
                <w:b/>
                <w:sz w:val="19"/>
              </w:rPr>
              <w:t xml:space="preserve">Antes que</w:t>
            </w:r>
          </w:p>
        </w:tc>
        <w:tc>
          <w:tcPr>
            <w:tcW w:type="dxa" w:w="4195"/>
            <w:shd w:val="clear" w:fill="F3EFE8"/>
            <w:tcMar>
              <w:top w:w="60" w:type="dxa"/>
              <w:bottom w:w="60" w:type="dxa"/>
              <w:left w:w="100" w:type="dxa"/>
              <w:right w:w="100" w:type="dxa"/>
            </w:tcMar>
          </w:tcPr>
          <w:p>
            <w:pPr>
              <w:pStyle w:val="Compact"/>
              <w:jc w:val="left"/>
            </w:pPr>
            <w:r>
              <w:rPr>
                <w:b/>
                <w:sz w:val="19"/>
              </w:rPr>
              <w:t xml:space="preserve">Por qué</w:t>
            </w:r>
          </w:p>
        </w:tc>
      </w:tr>
      <w:tr>
        <w:tc>
          <w:tcPr>
            <w:tcW w:type="dxa" w:w="1020"/>
            <w:tcMar>
              <w:top w:w="60" w:type="dxa"/>
              <w:bottom w:w="60" w:type="dxa"/>
              <w:left w:w="100" w:type="dxa"/>
              <w:right w:w="100" w:type="dxa"/>
            </w:tcMar>
          </w:tcPr>
          <w:p>
            <w:pPr>
              <w:pStyle w:val="Compact"/>
              <w:jc w:val="left"/>
            </w:pPr>
            <w:r>
              <w:rPr>
                <w:sz w:val="19"/>
              </w:rPr>
              <w:t xml:space="preserve">1</w:t>
            </w:r>
          </w:p>
        </w:tc>
        <w:tc>
          <w:tcPr>
            <w:tcW w:type="dxa" w:w="2381"/>
            <w:tcMar>
              <w:top w:w="60" w:type="dxa"/>
              <w:bottom w:w="60" w:type="dxa"/>
              <w:left w:w="100" w:type="dxa"/>
              <w:right w:w="100" w:type="dxa"/>
            </w:tcMar>
          </w:tcPr>
          <w:p>
            <w:pPr>
              <w:pStyle w:val="Compact"/>
              <w:jc w:val="left"/>
            </w:pPr>
            <w:r>
              <w:rPr>
                <w:bCs/>
                <w:b/>
                <w:sz w:val="19"/>
              </w:rPr>
              <w:t xml:space="preserve">Bloques del Core</w:t>
            </w:r>
          </w:p>
        </w:tc>
        <w:tc>
          <w:tcPr>
            <w:tcW w:type="dxa" w:w="2041"/>
            <w:tcMar>
              <w:top w:w="60" w:type="dxa"/>
              <w:bottom w:w="60" w:type="dxa"/>
              <w:left w:w="100" w:type="dxa"/>
              <w:right w:w="100" w:type="dxa"/>
            </w:tcMar>
          </w:tcPr>
          <w:p>
            <w:pPr>
              <w:pStyle w:val="Compact"/>
              <w:jc w:val="left"/>
            </w:pPr>
            <w:r>
              <w:rPr>
                <w:sz w:val="19"/>
              </w:rPr>
              <w:t xml:space="preserve">Bloques a medida</w:t>
            </w:r>
          </w:p>
        </w:tc>
        <w:tc>
          <w:tcPr>
            <w:tcW w:type="dxa" w:w="4195"/>
            <w:tcMar>
              <w:top w:w="60" w:type="dxa"/>
              <w:bottom w:w="60" w:type="dxa"/>
              <w:left w:w="100" w:type="dxa"/>
              <w:right w:w="100" w:type="dxa"/>
            </w:tcMar>
          </w:tcPr>
          <w:p>
            <w:pPr>
              <w:pStyle w:val="Compact"/>
              <w:jc w:val="left"/>
            </w:pPr>
            <w:r>
              <w:rPr>
                <w:sz w:val="19"/>
              </w:rPr>
              <w:t xml:space="preserve">Rendimiento, accesibilidad y compatibilidad futura las garantiza el núcleo</w:t>
            </w:r>
          </w:p>
        </w:tc>
      </w:tr>
      <w:tr>
        <w:tc>
          <w:tcPr>
            <w:tcW w:type="dxa" w:w="1020"/>
            <w:tcMar>
              <w:top w:w="60" w:type="dxa"/>
              <w:bottom w:w="60" w:type="dxa"/>
              <w:left w:w="100" w:type="dxa"/>
              <w:right w:w="100" w:type="dxa"/>
            </w:tcMar>
          </w:tcPr>
          <w:p>
            <w:pPr>
              <w:pStyle w:val="Compact"/>
              <w:jc w:val="left"/>
            </w:pPr>
            <w:r>
              <w:rPr>
                <w:sz w:val="19"/>
              </w:rPr>
              <w:t xml:space="preserve">2</w:t>
            </w:r>
          </w:p>
        </w:tc>
        <w:tc>
          <w:tcPr>
            <w:tcW w:type="dxa" w:w="2381"/>
            <w:tcMar>
              <w:top w:w="60" w:type="dxa"/>
              <w:bottom w:w="60" w:type="dxa"/>
              <w:left w:w="100" w:type="dxa"/>
              <w:right w:w="100" w:type="dxa"/>
            </w:tcMar>
          </w:tcPr>
          <w:p>
            <w:pPr>
              <w:pStyle w:val="Compact"/>
              <w:jc w:val="left"/>
            </w:pPr>
            <w:r>
              <w:rPr>
                <w:bCs/>
                <w:b/>
                <w:sz w:val="19"/>
              </w:rPr>
              <w:t xml:space="preserve">Patrones de bloques</w:t>
            </w:r>
          </w:p>
        </w:tc>
        <w:tc>
          <w:tcPr>
            <w:tcW w:type="dxa" w:w="2041"/>
            <w:tcMar>
              <w:top w:w="60" w:type="dxa"/>
              <w:bottom w:w="60" w:type="dxa"/>
              <w:left w:w="100" w:type="dxa"/>
              <w:right w:w="100" w:type="dxa"/>
            </w:tcMar>
          </w:tcPr>
          <w:p>
            <w:pPr>
              <w:pStyle w:val="Compact"/>
              <w:jc w:val="left"/>
            </w:pPr>
            <w:r>
              <w:rPr>
                <w:sz w:val="19"/>
              </w:rPr>
              <w:t xml:space="preserve">Componentes propios</w:t>
            </w:r>
          </w:p>
        </w:tc>
        <w:tc>
          <w:tcPr>
            <w:tcW w:type="dxa" w:w="4195"/>
            <w:tcMar>
              <w:top w:w="60" w:type="dxa"/>
              <w:bottom w:w="60" w:type="dxa"/>
              <w:left w:w="100" w:type="dxa"/>
              <w:right w:w="100" w:type="dxa"/>
            </w:tcMar>
          </w:tcPr>
          <w:p>
            <w:pPr>
              <w:pStyle w:val="Compact"/>
              <w:jc w:val="left"/>
            </w:pPr>
            <w:r>
              <w:rPr>
                <w:sz w:val="19"/>
              </w:rPr>
              <w:t xml:space="preserve">Estructuras complejas (hero, tarjeta, testimonios) editables desde el editor sin código a medida</w:t>
            </w:r>
          </w:p>
        </w:tc>
      </w:tr>
      <w:tr>
        <w:tc>
          <w:tcPr>
            <w:tcW w:type="dxa" w:w="1020"/>
            <w:tcMar>
              <w:top w:w="60" w:type="dxa"/>
              <w:bottom w:w="60" w:type="dxa"/>
              <w:left w:w="100" w:type="dxa"/>
              <w:right w:w="100" w:type="dxa"/>
            </w:tcMar>
          </w:tcPr>
          <w:p>
            <w:pPr>
              <w:pStyle w:val="Compact"/>
              <w:jc w:val="left"/>
            </w:pPr>
            <w:r>
              <w:rPr>
                <w:sz w:val="19"/>
              </w:rPr>
              <w:t xml:space="preserve">3</w:t>
            </w:r>
          </w:p>
        </w:tc>
        <w:tc>
          <w:tcPr>
            <w:tcW w:type="dxa" w:w="2381"/>
            <w:tcMar>
              <w:top w:w="60" w:type="dxa"/>
              <w:bottom w:w="60" w:type="dxa"/>
              <w:left w:w="100" w:type="dxa"/>
              <w:right w:w="100" w:type="dxa"/>
            </w:tcMar>
          </w:tcPr>
          <w:p>
            <w:pPr>
              <w:pStyle w:val="Compact"/>
              <w:jc w:val="left"/>
            </w:pPr>
            <w:r>
              <w:rPr>
                <w:rStyle w:val="VerbatimChar"/>
                <w:bCs/>
                <w:b/>
                <w:sz w:val="19"/>
              </w:rPr>
              <w:t xml:space="preserve">theme.json</w:t>
            </w:r>
            <w:r>
              <w:rPr>
                <w:sz w:val="19"/>
              </w:rPr>
              <w:t xml:space="preserve"> </w:t>
            </w:r>
            <w:r>
              <w:rPr>
                <w:sz w:val="19"/>
              </w:rPr>
              <w:t xml:space="preserve">(tokens y estilos globales)</w:t>
            </w:r>
          </w:p>
        </w:tc>
        <w:tc>
          <w:tcPr>
            <w:tcW w:type="dxa" w:w="2041"/>
            <w:tcMar>
              <w:top w:w="60" w:type="dxa"/>
              <w:bottom w:w="60" w:type="dxa"/>
              <w:left w:w="100" w:type="dxa"/>
              <w:right w:w="100" w:type="dxa"/>
            </w:tcMar>
          </w:tcPr>
          <w:p>
            <w:pPr>
              <w:pStyle w:val="Compact"/>
              <w:jc w:val="left"/>
            </w:pPr>
            <w:r>
              <w:rPr>
                <w:sz w:val="19"/>
              </w:rPr>
              <w:t xml:space="preserve">CSS</w:t>
            </w:r>
          </w:p>
        </w:tc>
        <w:tc>
          <w:tcPr>
            <w:tcW w:type="dxa" w:w="4195"/>
            <w:tcMar>
              <w:top w:w="60" w:type="dxa"/>
              <w:bottom w:w="60" w:type="dxa"/>
              <w:left w:w="100" w:type="dxa"/>
              <w:right w:w="100" w:type="dxa"/>
            </w:tcMar>
          </w:tcPr>
          <w:p>
            <w:pPr>
              <w:pStyle w:val="Compact"/>
              <w:jc w:val="left"/>
            </w:pPr>
            <w:r>
              <w:rPr>
                <w:sz w:val="19"/>
              </w:rPr>
              <w:t xml:space="preserve">Paleta, tipografía, espaciado y estilos de bloque en un único archivo declarativo</w:t>
            </w:r>
          </w:p>
        </w:tc>
      </w:tr>
      <w:tr>
        <w:tc>
          <w:tcPr>
            <w:tcW w:type="dxa" w:w="1020"/>
            <w:tcMar>
              <w:top w:w="60" w:type="dxa"/>
              <w:bottom w:w="60" w:type="dxa"/>
              <w:left w:w="100" w:type="dxa"/>
              <w:right w:w="100" w:type="dxa"/>
            </w:tcMar>
          </w:tcPr>
          <w:p>
            <w:pPr>
              <w:pStyle w:val="Compact"/>
              <w:jc w:val="left"/>
            </w:pPr>
            <w:r>
              <w:rPr>
                <w:sz w:val="19"/>
              </w:rPr>
              <w:t xml:space="preserve">4</w:t>
            </w:r>
          </w:p>
        </w:tc>
        <w:tc>
          <w:tcPr>
            <w:tcW w:type="dxa" w:w="2381"/>
            <w:tcMar>
              <w:top w:w="60" w:type="dxa"/>
              <w:bottom w:w="60" w:type="dxa"/>
              <w:left w:w="100" w:type="dxa"/>
              <w:right w:w="100" w:type="dxa"/>
            </w:tcMar>
          </w:tcPr>
          <w:p>
            <w:pPr>
              <w:pStyle w:val="Compact"/>
              <w:jc w:val="left"/>
            </w:pPr>
            <w:r>
              <w:rPr>
                <w:bCs/>
                <w:b/>
                <w:sz w:val="19"/>
              </w:rPr>
              <w:t xml:space="preserve">CSS localizado</w:t>
            </w:r>
          </w:p>
        </w:tc>
        <w:tc>
          <w:tcPr>
            <w:tcW w:type="dxa" w:w="2041"/>
            <w:tcMar>
              <w:top w:w="60" w:type="dxa"/>
              <w:bottom w:w="60" w:type="dxa"/>
              <w:left w:w="100" w:type="dxa"/>
              <w:right w:w="100" w:type="dxa"/>
            </w:tcMar>
          </w:tcPr>
          <w:p>
            <w:pPr>
              <w:pStyle w:val="Compact"/>
              <w:jc w:val="left"/>
            </w:pPr>
            <w:r>
              <w:rPr>
                <w:sz w:val="19"/>
              </w:rPr>
              <w:t xml:space="preserve">CSS global o</w:t>
            </w:r>
            <w:r>
              <w:rPr>
                <w:sz w:val="19"/>
              </w:rPr>
              <w:t xml:space="preserve"> </w:t>
            </w:r>
            <w:r>
              <w:rPr>
                <w:rStyle w:val="VerbatimChar"/>
                <w:sz w:val="19"/>
              </w:rPr>
              <w:t xml:space="preserve">!important</w:t>
            </w:r>
          </w:p>
        </w:tc>
        <w:tc>
          <w:tcPr>
            <w:tcW w:type="dxa" w:w="4195"/>
            <w:tcMar>
              <w:top w:w="60" w:type="dxa"/>
              <w:bottom w:w="60" w:type="dxa"/>
              <w:left w:w="100" w:type="dxa"/>
              <w:right w:w="100" w:type="dxa"/>
            </w:tcMar>
          </w:tcPr>
          <w:p>
            <w:pPr>
              <w:pStyle w:val="Compact"/>
              <w:jc w:val="left"/>
            </w:pPr>
            <w:r>
              <w:rPr>
                <w:sz w:val="19"/>
              </w:rPr>
              <w:t xml:space="preserve">Solo donde lo nativo no alcance (micro-animaciones, un layout concreto), acotado y justificado</w:t>
            </w:r>
          </w:p>
        </w:tc>
      </w:tr>
      <w:tr>
        <w:tc>
          <w:tcPr>
            <w:tcW w:type="dxa" w:w="1020"/>
            <w:tcMar>
              <w:top w:w="60" w:type="dxa"/>
              <w:bottom w:w="60" w:type="dxa"/>
              <w:left w:w="100" w:type="dxa"/>
              <w:right w:w="100" w:type="dxa"/>
            </w:tcMar>
          </w:tcPr>
          <w:p>
            <w:pPr>
              <w:pStyle w:val="Compact"/>
              <w:jc w:val="left"/>
            </w:pPr>
            <w:r>
              <w:rPr>
                <w:sz w:val="19"/>
              </w:rPr>
              <w:t xml:space="preserve">5</w:t>
            </w:r>
          </w:p>
        </w:tc>
        <w:tc>
          <w:tcPr>
            <w:tcW w:type="dxa" w:w="2381"/>
            <w:tcMar>
              <w:top w:w="60" w:type="dxa"/>
              <w:bottom w:w="60" w:type="dxa"/>
              <w:left w:w="100" w:type="dxa"/>
              <w:right w:w="100" w:type="dxa"/>
            </w:tcMar>
          </w:tcPr>
          <w:p>
            <w:pPr>
              <w:pStyle w:val="Compact"/>
              <w:jc w:val="left"/>
            </w:pPr>
            <w:r>
              <w:rPr>
                <w:bCs/>
                <w:b/>
                <w:sz w:val="19"/>
              </w:rPr>
              <w:t xml:space="preserve">Bloque propio con</w:t>
            </w:r>
            <w:r>
              <w:rPr>
                <w:bCs/>
                <w:b/>
                <w:sz w:val="19"/>
              </w:rPr>
              <w:t xml:space="preserve"> </w:t>
            </w:r>
            <w:r>
              <w:rPr>
                <w:rStyle w:val="VerbatimChar"/>
                <w:bCs/>
                <w:b/>
                <w:sz w:val="19"/>
              </w:rPr>
              <w:t xml:space="preserve">block.json</w:t>
            </w:r>
          </w:p>
        </w:tc>
        <w:tc>
          <w:tcPr>
            <w:tcW w:type="dxa" w:w="2041"/>
            <w:tcMar>
              <w:top w:w="60" w:type="dxa"/>
              <w:bottom w:w="60" w:type="dxa"/>
              <w:left w:w="100" w:type="dxa"/>
              <w:right w:w="100" w:type="dxa"/>
            </w:tcMar>
          </w:tcPr>
          <w:p>
            <w:pPr>
              <w:pStyle w:val="Compact"/>
              <w:jc w:val="left"/>
            </w:pPr>
            <w:r>
              <w:rPr>
                <w:sz w:val="19"/>
              </w:rPr>
              <w:t xml:space="preserve">JS/PHP suelto</w:t>
            </w:r>
          </w:p>
        </w:tc>
        <w:tc>
          <w:tcPr>
            <w:tcW w:type="dxa" w:w="4195"/>
            <w:tcMar>
              <w:top w:w="60" w:type="dxa"/>
              <w:bottom w:w="60" w:type="dxa"/>
              <w:left w:w="100" w:type="dxa"/>
              <w:right w:w="100" w:type="dxa"/>
            </w:tcMar>
          </w:tcPr>
          <w:p>
            <w:pPr>
              <w:pStyle w:val="Compact"/>
              <w:jc w:val="left"/>
            </w:pPr>
            <w:r>
              <w:rPr>
                <w:sz w:val="19"/>
              </w:rPr>
              <w:t xml:space="preserve">Solo si hay una necesidad de interfaz que lo anterior no cubre;</w:t>
            </w:r>
            <w:r>
              <w:rPr>
                <w:sz w:val="19"/>
              </w:rPr>
              <w:t xml:space="preserve"> </w:t>
            </w:r>
            <w:r>
              <w:rPr>
                <w:rStyle w:val="VerbatimChar"/>
                <w:sz w:val="19"/>
              </w:rPr>
              <w:t xml:space="preserve">block.json</w:t>
            </w:r>
            <w:r>
              <w:rPr>
                <w:sz w:val="19"/>
              </w:rPr>
              <w:t xml:space="preserve"> </w:t>
            </w:r>
            <w:r>
              <w:rPr>
                <w:sz w:val="19"/>
              </w:rPr>
              <w:t xml:space="preserve">es su única fuente de verdad</w:t>
            </w:r>
          </w:p>
        </w:tc>
      </w:tr>
      <w:tr>
        <w:tc>
          <w:tcPr>
            <w:tcW w:type="dxa" w:w="1020"/>
            <w:tcMar>
              <w:top w:w="60" w:type="dxa"/>
              <w:bottom w:w="60" w:type="dxa"/>
              <w:left w:w="100" w:type="dxa"/>
              <w:right w:w="100" w:type="dxa"/>
            </w:tcMar>
          </w:tcPr>
          <w:p>
            <w:pPr>
              <w:pStyle w:val="Compact"/>
              <w:jc w:val="left"/>
            </w:pPr>
            <w:r>
              <w:rPr>
                <w:sz w:val="19"/>
              </w:rPr>
              <w:t xml:space="preserve">6</w:t>
            </w:r>
          </w:p>
        </w:tc>
        <w:tc>
          <w:tcPr>
            <w:tcW w:type="dxa" w:w="2381"/>
            <w:tcMar>
              <w:top w:w="60" w:type="dxa"/>
              <w:bottom w:w="60" w:type="dxa"/>
              <w:left w:w="100" w:type="dxa"/>
              <w:right w:w="100" w:type="dxa"/>
            </w:tcMar>
          </w:tcPr>
          <w:p>
            <w:pPr>
              <w:pStyle w:val="Compact"/>
              <w:jc w:val="left"/>
            </w:pPr>
            <w:r>
              <w:rPr>
                <w:bCs/>
                <w:b/>
                <w:sz w:val="19"/>
              </w:rPr>
              <w:t xml:space="preserve">Interactivity API</w:t>
            </w:r>
          </w:p>
        </w:tc>
        <w:tc>
          <w:tcPr>
            <w:tcW w:type="dxa" w:w="2041"/>
            <w:tcMar>
              <w:top w:w="60" w:type="dxa"/>
              <w:bottom w:w="60" w:type="dxa"/>
              <w:left w:w="100" w:type="dxa"/>
              <w:right w:w="100" w:type="dxa"/>
            </w:tcMar>
          </w:tcPr>
          <w:p>
            <w:pPr>
              <w:pStyle w:val="Compact"/>
              <w:jc w:val="left"/>
            </w:pPr>
            <w:r>
              <w:rPr>
                <w:sz w:val="19"/>
              </w:rPr>
              <w:t xml:space="preserve">JavaScript ad hoc, jQuery</w:t>
            </w:r>
          </w:p>
        </w:tc>
        <w:tc>
          <w:tcPr>
            <w:tcW w:type="dxa" w:w="4195"/>
            <w:tcMar>
              <w:top w:w="60" w:type="dxa"/>
              <w:bottom w:w="60" w:type="dxa"/>
              <w:left w:w="100" w:type="dxa"/>
              <w:right w:w="100" w:type="dxa"/>
            </w:tcMar>
          </w:tcPr>
          <w:p>
            <w:pPr>
              <w:pStyle w:val="Compact"/>
              <w:jc w:val="left"/>
            </w:pPr>
            <w:r>
              <w:rPr>
                <w:sz w:val="19"/>
              </w:rPr>
              <w:t xml:space="preserve">Interacción de frontend con modelo declarativo, estado estandarizado y poco peso</w:t>
            </w:r>
          </w:p>
        </w:tc>
      </w:tr>
      <w:tr>
        <w:tc>
          <w:tcPr>
            <w:tcW w:type="dxa" w:w="1020"/>
            <w:tcMar>
              <w:top w:w="60" w:type="dxa"/>
              <w:bottom w:w="60" w:type="dxa"/>
              <w:left w:w="100" w:type="dxa"/>
              <w:right w:w="100" w:type="dxa"/>
            </w:tcMar>
          </w:tcPr>
          <w:p>
            <w:pPr>
              <w:pStyle w:val="Compact"/>
              <w:jc w:val="left"/>
            </w:pPr>
            <w:r>
              <w:rPr>
                <w:sz w:val="19"/>
              </w:rPr>
              <w:t xml:space="preserve">Datos</w:t>
            </w:r>
          </w:p>
        </w:tc>
        <w:tc>
          <w:tcPr>
            <w:tcW w:type="dxa" w:w="2381"/>
            <w:tcMar>
              <w:top w:w="60" w:type="dxa"/>
              <w:bottom w:w="60" w:type="dxa"/>
              <w:left w:w="100" w:type="dxa"/>
              <w:right w:w="100" w:type="dxa"/>
            </w:tcMar>
          </w:tcPr>
          <w:p>
            <w:pPr>
              <w:pStyle w:val="Compact"/>
              <w:jc w:val="left"/>
            </w:pPr>
            <w:r>
              <w:rPr>
                <w:bCs/>
                <w:b/>
                <w:sz w:val="19"/>
              </w:rPr>
              <w:t xml:space="preserve">Funciones y APIs nativas</w:t>
            </w:r>
          </w:p>
        </w:tc>
        <w:tc>
          <w:tcPr>
            <w:tcW w:type="dxa" w:w="2041"/>
            <w:tcMar>
              <w:top w:w="60" w:type="dxa"/>
              <w:bottom w:w="60" w:type="dxa"/>
              <w:left w:w="100" w:type="dxa"/>
              <w:right w:w="100" w:type="dxa"/>
            </w:tcMar>
          </w:tcPr>
          <w:p>
            <w:pPr>
              <w:pStyle w:val="Compact"/>
              <w:jc w:val="left"/>
            </w:pPr>
            <w:r>
              <w:rPr>
                <w:sz w:val="19"/>
              </w:rPr>
              <w:t xml:space="preserve">SQL directo</w:t>
            </w:r>
          </w:p>
        </w:tc>
        <w:tc>
          <w:tcPr>
            <w:tcW w:type="dxa" w:w="4195"/>
            <w:tcMar>
              <w:top w:w="60" w:type="dxa"/>
              <w:bottom w:w="60" w:type="dxa"/>
              <w:left w:w="100" w:type="dxa"/>
              <w:right w:w="100" w:type="dxa"/>
            </w:tcMar>
          </w:tcPr>
          <w:p>
            <w:pPr>
              <w:pStyle w:val="Compact"/>
              <w:jc w:val="left"/>
            </w:pPr>
            <w:r>
              <w:rPr>
                <w:rStyle w:val="VerbatimChar"/>
                <w:sz w:val="19"/>
              </w:rPr>
              <w:t xml:space="preserve">WP_Query</w:t>
            </w:r>
            <w:r>
              <w:rPr>
                <w:sz w:val="19"/>
              </w:rPr>
              <w:t xml:space="preserve">,</w:t>
            </w:r>
            <w:r>
              <w:rPr>
                <w:sz w:val="19"/>
              </w:rPr>
              <w:t xml:space="preserve"> </w:t>
            </w:r>
            <w:r>
              <w:rPr>
                <w:rStyle w:val="VerbatimChar"/>
                <w:sz w:val="19"/>
              </w:rPr>
              <w:t xml:space="preserve">get_posts</w:t>
            </w:r>
            <w:r>
              <w:rPr>
                <w:sz w:val="19"/>
              </w:rPr>
              <w:t xml:space="preserve">, REST API y demás;</w:t>
            </w:r>
            <w:r>
              <w:rPr>
                <w:sz w:val="19"/>
              </w:rPr>
              <w:t xml:space="preserve"> </w:t>
            </w:r>
            <w:r>
              <w:rPr>
                <w:rStyle w:val="VerbatimChar"/>
                <w:sz w:val="19"/>
              </w:rPr>
              <w:t xml:space="preserve">$wpdb</w:t>
            </w:r>
            <w:r>
              <w:rPr>
                <w:sz w:val="19"/>
              </w:rPr>
              <w:t xml:space="preserve"> </w:t>
            </w:r>
            <w:r>
              <w:rPr>
                <w:sz w:val="19"/>
              </w:rPr>
              <w:t xml:space="preserve">solo en casos excepcionales y documentados</w:t>
            </w:r>
          </w:p>
        </w:tc>
      </w:tr>
    </w:tbl>
    <w:p>
      <w:pPr>
        <w:pStyle w:val="BodyText"/>
      </w:pPr>
      <w:r>
        <w:t xml:space="preserve">Tres reglas transversales:</w:t>
      </w:r>
    </w:p>
    <w:p>
      <w:pPr>
        <w:numPr>
          <w:ilvl w:val="0"/>
          <w:numId w:val="1002"/>
        </w:numPr>
        <w:pStyle w:val="Compact"/>
      </w:pPr>
      <w:r>
        <w:rPr>
          <w:bCs/>
          <w:b/>
        </w:rPr>
        <w:t xml:space="preserve">No se modifica el Core de WordPress ni las dependencias generadas</w:t>
      </w:r>
      <w:r>
        <w:t xml:space="preserve"> </w:t>
      </w:r>
      <w:r>
        <w:t xml:space="preserve">(</w:t>
      </w:r>
      <w:r>
        <w:rPr>
          <w:rStyle w:val="VerbatimChar"/>
        </w:rPr>
        <w:t xml:space="preserve">wp-admin</w:t>
      </w:r>
      <w:r>
        <w:t xml:space="preserve">,</w:t>
      </w:r>
      <w:r>
        <w:t xml:space="preserve"> </w:t>
      </w:r>
      <w:r>
        <w:rPr>
          <w:rStyle w:val="VerbatimChar"/>
        </w:rPr>
        <w:t xml:space="preserve">wp-includes</w:t>
      </w:r>
      <w:r>
        <w:t xml:space="preserve">, plugins de terceros,</w:t>
      </w:r>
      <w:r>
        <w:t xml:space="preserve"> </w:t>
      </w:r>
      <w:r>
        <w:rPr>
          <w:rStyle w:val="VerbatimChar"/>
        </w:rPr>
        <w:t xml:space="preserve">node_modules</w:t>
      </w:r>
      <w:r>
        <w:t xml:space="preserve">,</w:t>
      </w:r>
      <w:r>
        <w:t xml:space="preserve"> </w:t>
      </w:r>
      <w:r>
        <w:rPr>
          <w:rStyle w:val="VerbatimChar"/>
        </w:rPr>
        <w:t xml:space="preserve">vendor</w:t>
      </w:r>
      <w:r>
        <w:t xml:space="preserve">, carpetas</w:t>
      </w:r>
      <w:r>
        <w:t xml:space="preserve"> </w:t>
      </w:r>
      <w:r>
        <w:rPr>
          <w:rStyle w:val="VerbatimChar"/>
        </w:rPr>
        <w:t xml:space="preserve">build/</w:t>
      </w:r>
      <w:r>
        <w:t xml:space="preserve">). Todo se encapsula en el tema, en plugins propios o en mu-plugins.</w:t>
      </w:r>
    </w:p>
    <w:p>
      <w:pPr>
        <w:numPr>
          <w:ilvl w:val="0"/>
          <w:numId w:val="1002"/>
        </w:numPr>
        <w:pStyle w:val="Compact"/>
      </w:pPr>
      <w:r>
        <w:rPr>
          <w:bCs/>
          <w:b/>
        </w:rPr>
        <w:t xml:space="preserve">Toda excepción se justifica por escrito</w:t>
      </w:r>
      <w:r>
        <w:t xml:space="preserve">, en el código o en la documentación del proyecto, para que el equipo entienda por qué se tomó una ruta no estándar.</w:t>
      </w:r>
    </w:p>
    <w:p>
      <w:pPr>
        <w:numPr>
          <w:ilvl w:val="0"/>
          <w:numId w:val="1002"/>
        </w:numPr>
        <w:pStyle w:val="Compact"/>
      </w:pPr>
      <w:r>
        <w:rPr>
          <w:bCs/>
          <w:b/>
        </w:rPr>
        <w:t xml:space="preserve">El CSS no está prohibido</w:t>
      </w:r>
      <w:r>
        <w:t xml:space="preserve">: está subordinado. La regla es «lo nativo primero», no «nunca CSS».</w:t>
      </w:r>
    </w:p>
    <w:bookmarkEnd w:id="22"/>
    <w:bookmarkStart w:id="23" w:name="Xead1f1c7656d40cbed38a8696ea6178efb60774"/>
    <w:p>
      <w:pPr>
        <w:pStyle w:val="Heading3"/>
      </w:pPr>
      <w:r>
        <w:t xml:space="preserve">2.3 Reparto de responsabilidades: presentación frente a funcionalidad</w:t>
      </w:r>
    </w:p>
    <w:p>
      <w:pPr>
        <w:pStyle w:val="FirstParagraph"/>
      </w:pPr>
      <w:r>
        <w:t xml:space="preserve">El</w:t>
      </w:r>
      <w:r>
        <w:t xml:space="preserve"> </w:t>
      </w:r>
      <w:r>
        <w:rPr>
          <w:bCs/>
          <w:b/>
        </w:rPr>
        <w:t xml:space="preserve">tema</w:t>
      </w:r>
      <w:r>
        <w:t xml:space="preserve"> </w:t>
      </w:r>
      <w:r>
        <w:t xml:space="preserve">contiene presentación pura:</w:t>
      </w:r>
      <w:r>
        <w:t xml:space="preserve"> </w:t>
      </w:r>
      <w:r>
        <w:rPr>
          <w:rStyle w:val="VerbatimChar"/>
        </w:rPr>
        <w:t xml:space="preserve">theme.json</w:t>
      </w:r>
      <w:r>
        <w:t xml:space="preserve">, plantillas, partes, patrones y estilos; nunca lógica de negocio ni credenciales. Los</w:t>
      </w:r>
      <w:r>
        <w:t xml:space="preserve"> </w:t>
      </w:r>
      <w:r>
        <w:rPr>
          <w:bCs/>
          <w:b/>
        </w:rPr>
        <w:t xml:space="preserve">plugins</w:t>
      </w:r>
      <w:r>
        <w:t xml:space="preserve"> </w:t>
      </w:r>
      <w:r>
        <w:t xml:space="preserve">contienen la funcionalidad (tipos de contenido, integraciones, lógica de negocio); los</w:t>
      </w:r>
      <w:r>
        <w:t xml:space="preserve"> </w:t>
      </w:r>
      <w:r>
        <w:rPr>
          <w:bCs/>
          <w:b/>
        </w:rPr>
        <w:t xml:space="preserve">mu-plugins</w:t>
      </w:r>
      <w:r>
        <w:t xml:space="preserve"> </w:t>
      </w:r>
      <w:r>
        <w:t xml:space="preserve">alojan lo que no debe poder desactivarse sin romper el sitio. Mezclar ambos mundos es la primera fuente de deuda técnica.</w:t>
      </w:r>
    </w:p>
    <w:bookmarkEnd w:id="23"/>
    <w:bookmarkStart w:id="24" w:name="Xa0603a81b8aa3273b2fec6f606b8d19e29b0d7e"/>
    <w:p>
      <w:pPr>
        <w:pStyle w:val="Heading3"/>
      </w:pPr>
      <w:r>
        <w:t xml:space="preserve">2.4 Cómo trabaja un agente de IA bien dirigido</w:t>
      </w:r>
    </w:p>
    <w:p>
      <w:pPr>
        <w:pStyle w:val="FirstParagraph"/>
      </w:pPr>
      <w:r>
        <w:t xml:space="preserve">Un agente sin reglas improvisa: inventa funciones obsoletas, crea bloques que ya existen, se salta comprobaciones de seguridad. Un agente bien dirigido combina cinco ingredientes:</w:t>
      </w:r>
    </w:p>
    <w:p>
      <w:pPr>
        <w:numPr>
          <w:ilvl w:val="0"/>
          <w:numId w:val="1003"/>
        </w:numPr>
        <w:pStyle w:val="Compact"/>
      </w:pPr>
      <w:r>
        <w:rPr>
          <w:bCs/>
          <w:b/>
        </w:rPr>
        <w:t xml:space="preserve">Una petición clara</w:t>
      </w:r>
      <w:r>
        <w:t xml:space="preserve"> </w:t>
      </w:r>
      <w:r>
        <w:t xml:space="preserve">que fija el objetivo y el alcance exacto (borrador, propuesta o cambio aplicado).</w:t>
      </w:r>
    </w:p>
    <w:p>
      <w:pPr>
        <w:numPr>
          <w:ilvl w:val="0"/>
          <w:numId w:val="1003"/>
        </w:numPr>
        <w:pStyle w:val="Compact"/>
      </w:pPr>
      <w:r>
        <w:rPr>
          <w:bCs/>
          <w:b/>
        </w:rPr>
        <w:t xml:space="preserve">Reglas explícitas del proyecto</w:t>
      </w:r>
      <w:r>
        <w:t xml:space="preserve">, escritas en un archivo que el agente lee siempre (</w:t>
      </w:r>
      <w:r>
        <w:rPr>
          <w:rStyle w:val="VerbatimChar"/>
        </w:rPr>
        <w:t xml:space="preserve">AGENTS.md</w:t>
      </w:r>
      <w:r>
        <w:t xml:space="preserve">): jerarquía de decisión, límites obligatorios, seguridad y reparto tema/plugin.</w:t>
      </w:r>
    </w:p>
    <w:p>
      <w:pPr>
        <w:numPr>
          <w:ilvl w:val="0"/>
          <w:numId w:val="1003"/>
        </w:numPr>
        <w:pStyle w:val="Compact"/>
      </w:pPr>
      <w:r>
        <w:rPr>
          <w:bCs/>
          <w:b/>
        </w:rPr>
        <w:t xml:space="preserve">Conocimiento experto empaquetado</w:t>
      </w:r>
      <w:r>
        <w:t xml:space="preserve">: las Agent Skills oficiales, orquestadas por</w:t>
      </w:r>
      <w:r>
        <w:t xml:space="preserve"> </w:t>
      </w:r>
      <w:r>
        <w:rPr>
          <w:rStyle w:val="VerbatimChar"/>
        </w:rPr>
        <w:t xml:space="preserve">wordpress-router</w:t>
      </w:r>
      <w:r>
        <w:t xml:space="preserve">.</w:t>
      </w:r>
    </w:p>
    <w:p>
      <w:pPr>
        <w:numPr>
          <w:ilvl w:val="0"/>
          <w:numId w:val="1003"/>
        </w:numPr>
        <w:pStyle w:val="Compact"/>
      </w:pPr>
      <w:r>
        <w:rPr>
          <w:bCs/>
          <w:b/>
        </w:rPr>
        <w:t xml:space="preserve">Herramientas con permisos mínimos</w:t>
      </w:r>
      <w:r>
        <w:t xml:space="preserve"> </w:t>
      </w:r>
      <w:r>
        <w:t xml:space="preserve">que ejecutan el cambio realmente (edición de archivos, WP-CLI, APIs de WordPress, herramientas MCP).</w:t>
      </w:r>
    </w:p>
    <w:p>
      <w:pPr>
        <w:numPr>
          <w:ilvl w:val="0"/>
          <w:numId w:val="1003"/>
        </w:numPr>
        <w:pStyle w:val="Compact"/>
      </w:pPr>
      <w:r>
        <w:rPr>
          <w:bCs/>
          <w:b/>
        </w:rPr>
        <w:t xml:space="preserve">Contexto real del sitio</w:t>
      </w:r>
      <w:r>
        <w:t xml:space="preserve">: antes de proponer nada, el agente</w:t>
      </w:r>
      <w:r>
        <w:t xml:space="preserve"> </w:t>
      </w:r>
      <w:r>
        <w:rPr>
          <w:iCs/>
          <w:i/>
        </w:rPr>
        <w:t xml:space="preserve">pregunta al sitio</w:t>
      </w:r>
      <w:r>
        <w:t xml:space="preserve"> </w:t>
      </w:r>
      <w:r>
        <w:t xml:space="preserve">(qué tema usa, qué sistema de diseño tiene, qué patrones existen) mediante abilities de solo lectura, en vez de adivinar.</w:t>
      </w:r>
    </w:p>
    <w:p>
      <w:pPr>
        <w:pStyle w:val="FirstParagraph"/>
      </w:pPr>
      <w:r>
        <w:t xml:space="preserve">El flujo seguro es siempre el mismo:</w:t>
      </w:r>
      <w:r>
        <w:t xml:space="preserve"> </w:t>
      </w:r>
      <w:r>
        <w:rPr>
          <w:bCs/>
          <w:b/>
        </w:rPr>
        <w:t xml:space="preserve">contexto → propuesta → confirmación → ejecución → verificación</w:t>
      </w:r>
      <w:r>
        <w:t xml:space="preserve">. Nada que modifique o destruya contenido se ejecuta sin confirmación explícita y copia de seguridad declarada, y ninguna tarea se da por cerrada sin evidencia comprobable.</w:t>
      </w:r>
    </w:p>
    <w:bookmarkEnd w:id="24"/>
    <w:bookmarkStart w:id="25" w:name="Xed2417cff4779e828389207f6dc44a75186ffa1"/>
    <w:p>
      <w:pPr>
        <w:pStyle w:val="Heading3"/>
      </w:pPr>
      <w:r>
        <w:t xml:space="preserve">2.5 Dos pasos separados: diseñar y convertir</w:t>
      </w:r>
    </w:p>
    <w:p>
      <w:pPr>
        <w:pStyle w:val="FirstParagraph"/>
      </w:pPr>
      <w:r>
        <w:t xml:space="preserve">Un agente general —o una herramienta especializada, o una persona— ya puede producir hoy una</w:t>
      </w:r>
      <w:r>
        <w:t xml:space="preserve"> </w:t>
      </w:r>
      <w:r>
        <w:rPr>
          <w:bCs/>
          <w:b/>
        </w:rPr>
        <w:t xml:space="preserve">maqueta</w:t>
      </w:r>
      <w:r>
        <w:t xml:space="preserve"> </w:t>
      </w:r>
      <w:r>
        <w:t xml:space="preserve">bonita y funcional en HTML, CSS y JavaScript, sin saber nada de WordPress. Convertir esa maqueta en un sitio WordPress nativo es un paso distinto, con otras reglas. Separarlos tiene dos ventajas: el diseño puede mejorarse con la herramienta que cada momento ofrezca sin tocar el método de construcción, y la maqueta es un</w:t>
      </w:r>
      <w:r>
        <w:t xml:space="preserve"> </w:t>
      </w:r>
      <w:r>
        <w:rPr>
          <w:bCs/>
          <w:b/>
        </w:rPr>
        <w:t xml:space="preserve">punto de control natural</w:t>
      </w:r>
      <w:r>
        <w:t xml:space="preserve"> </w:t>
      </w:r>
      <w:r>
        <w:t xml:space="preserve">entre «lo que se quiere» y «lo que se construye». El objetivo de la conversión es reproducir fielmente la maqueta como un sistema de sitio reutilizable y editable (bloques, tokens, patrones, plantillas), nunca como una página HTML incrustada sin más. Este mismo enfoque —sistema de diseño reutilizable— es el que permite luego crear más páginas, entradas y plugins sin empezar de cero.</w:t>
      </w:r>
    </w:p>
    <w:bookmarkEnd w:id="25"/>
    <w:bookmarkStart w:id="26" w:name="Xec6110e127fbf19484fe317995f208fdf150973"/>
    <w:p>
      <w:pPr>
        <w:pStyle w:val="Heading3"/>
      </w:pPr>
      <w:r>
        <w:t xml:space="preserve">2.6 El agente es una vía adicional, nunca exclusiva</w:t>
      </w:r>
    </w:p>
    <w:p>
      <w:pPr>
        <w:pStyle w:val="FirstParagraph"/>
      </w:pPr>
      <w:r>
        <w:t xml:space="preserve">Esta forma de trabajar no impide que un administrador edite el sitio a mano desde el Site Editor o el escritorio de WordPress. Conviven siempre dos vías: la persona edita directamente cuando le resulta más rápido, y le pide el cambio al agente cuando describirlo es más sencillo que construirlo bloque a bloque. El canal del agente depende del entorno: con</w:t>
      </w:r>
      <w:r>
        <w:t xml:space="preserve"> </w:t>
      </w:r>
      <w:r>
        <w:rPr>
          <w:bCs/>
          <w:b/>
        </w:rPr>
        <w:t xml:space="preserve">acceso al proyecto</w:t>
      </w:r>
      <w:r>
        <w:t xml:space="preserve"> </w:t>
      </w:r>
      <w:r>
        <w:t xml:space="preserve">(la carpeta de la instalación abierta, típico de un entorno local o de laboratorio) o con</w:t>
      </w:r>
      <w:r>
        <w:t xml:space="preserve"> </w:t>
      </w:r>
      <w:r>
        <w:rPr>
          <w:bCs/>
          <w:b/>
        </w:rPr>
        <w:t xml:space="preserve">acceso remoto</w:t>
      </w:r>
      <w:r>
        <w:t xml:space="preserve"> </w:t>
      </w:r>
      <w:r>
        <w:t xml:space="preserve">mediante MCP cuando el sitio está publicado en un hosting sin acceso a archivos. Cambia el mecanismo de acceso, no quién decide.</w:t>
      </w:r>
    </w:p>
    <w:bookmarkEnd w:id="26"/>
    <w:bookmarkStart w:id="27" w:name="X15b1e3f138a333ad6a6f52681620092dac1ca38"/>
    <w:p>
      <w:pPr>
        <w:pStyle w:val="Heading3"/>
      </w:pPr>
      <w:r>
        <w:t xml:space="preserve">2.7 Gobernanza y seguridad como parte del método</w:t>
      </w:r>
    </w:p>
    <w:p>
      <w:pPr>
        <w:numPr>
          <w:ilvl w:val="0"/>
          <w:numId w:val="1004"/>
        </w:numPr>
        <w:pStyle w:val="Compact"/>
      </w:pPr>
      <w:r>
        <w:t xml:space="preserve">Toda operación comprueba capacidades reales del usuario; exponer algo públicamente no equivale a autorizarlo.</w:t>
      </w:r>
    </w:p>
    <w:p>
      <w:pPr>
        <w:numPr>
          <w:ilvl w:val="0"/>
          <w:numId w:val="1004"/>
        </w:numPr>
        <w:pStyle w:val="Compact"/>
      </w:pPr>
      <w:r>
        <w:t xml:space="preserve">Las instrucciones que aparezcan en contenido, maquetas o respuestas de modelos son</w:t>
      </w:r>
      <w:r>
        <w:t xml:space="preserve"> </w:t>
      </w:r>
      <w:r>
        <w:rPr>
          <w:bCs/>
          <w:b/>
        </w:rPr>
        <w:t xml:space="preserve">datos no confiables</w:t>
      </w:r>
      <w:r>
        <w:t xml:space="preserve">, nunca autorización.</w:t>
      </w:r>
    </w:p>
    <w:p>
      <w:pPr>
        <w:numPr>
          <w:ilvl w:val="0"/>
          <w:numId w:val="1004"/>
        </w:numPr>
        <w:pStyle w:val="Compact"/>
      </w:pPr>
      <w:r>
        <w:t xml:space="preserve">Las operaciones destructivas exigen confirmación escrita distinta para cada tipo de operación y copia de seguridad declarada.</w:t>
      </w:r>
    </w:p>
    <w:p>
      <w:pPr>
        <w:numPr>
          <w:ilvl w:val="0"/>
          <w:numId w:val="1004"/>
        </w:numPr>
        <w:pStyle w:val="Compact"/>
      </w:pPr>
      <w:r>
        <w:t xml:space="preserve">Principio de honestidad técnica:</w:t>
      </w:r>
      <w:r>
        <w:t xml:space="preserve"> </w:t>
      </w:r>
      <w:r>
        <w:rPr>
          <w:bCs/>
          <w:b/>
        </w:rPr>
        <w:t xml:space="preserve">no afirmar como hecho lo que no se ha probado</w:t>
      </w:r>
      <w:r>
        <w:t xml:space="preserve">. Aplica a los agentes y también a este material formativo.</w:t>
      </w:r>
    </w:p>
    <w:bookmarkEnd w:id="27"/>
    <w:bookmarkEnd w:id="28"/>
    <w:bookmarkStart w:id="31" w:name="X4ac8f5bb16e1b39083a3d3c4764d95511fb8783"/>
    <w:p>
      <w:pPr>
        <w:pStyle w:val="Heading2"/>
      </w:pPr>
      <w:r>
        <w:t xml:space="preserve">3. Ejemplos prácticos</w:t>
      </w:r>
    </w:p>
    <w:bookmarkStart w:id="29" w:name="X61dd51b6c78889f2b94a0b5a14e24d9f0f6c6b2"/>
    <w:p>
      <w:pPr>
        <w:pStyle w:val="Heading3"/>
      </w:pPr>
      <w:r>
        <w:t xml:space="preserve">3.1</w:t>
      </w:r>
      <w:r>
        <w:t xml:space="preserve"> </w:t>
      </w:r>
      <w:r>
        <w:rPr>
          <w:rStyle w:val="VerbatimChar"/>
        </w:rPr>
        <w:t xml:space="preserve">theme.json</w:t>
      </w:r>
      <w:r>
        <w:t xml:space="preserve">: color de marca y estilo de botón sin escribir CSS</w:t>
      </w:r>
    </w:p>
    <w:p>
      <w:pPr>
        <w:pStyle w:val="FirstParagraph"/>
      </w:pPr>
      <w:r>
        <w:t xml:space="preserve">En el desarrollo clásico se escribiría</w:t>
      </w:r>
      <w:r>
        <w:t xml:space="preserve"> </w:t>
      </w:r>
      <w:r>
        <w:rPr>
          <w:rStyle w:val="VerbatimChar"/>
        </w:rPr>
        <w:t xml:space="preserve">.btn-primary { background-color: #ff5722; }</w:t>
      </w:r>
      <w:r>
        <w:t xml:space="preserve"> </w:t>
      </w:r>
      <w:r>
        <w:t xml:space="preserve">en</w:t>
      </w:r>
      <w:r>
        <w:t xml:space="preserve"> </w:t>
      </w:r>
      <w:r>
        <w:rPr>
          <w:rStyle w:val="VerbatimChar"/>
        </w:rPr>
        <w:t xml:space="preserve">style.css</w:t>
      </w:r>
      <w:r>
        <w:t xml:space="preserve">. En un tema de bloques se declara en</w:t>
      </w:r>
      <w:r>
        <w:t xml:space="preserve"> </w:t>
      </w:r>
      <w:r>
        <w:rPr>
          <w:rStyle w:val="VerbatimChar"/>
        </w:rPr>
        <w:t xml:space="preserve">theme.json</w:t>
      </w:r>
      <w:r>
        <w:t xml:space="preserve">:</w:t>
      </w:r>
    </w:p>
    <w:p>
      <w:pPr>
        <w:pStyle w:val="SourceCode"/>
        <w:shd w:val="clear" w:fill="F3EFE8"/>
      </w:pPr>
      <w:r>
        <w:rPr>
          <w:rStyle w:val="FunctionTok"/>
        </w:rPr>
        <w:t xml:space="preserve">{</w:t>
      </w:r>
      <w:r>
        <w:br/>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"https://schemas.wp.org/trunk/theme.json"</w:t>
      </w:r>
      <w:r>
        <w:rPr>
          <w:rStyle w:val="FunctionTok"/>
        </w:rPr>
        <w:t xml:space="preserve">,</w:t>
      </w:r>
      <w:r>
        <w:br/>
      </w:r>
      <w:r>
        <w:rPr>
          <w:rStyle w:val="NormalTok"/>
        </w:rPr>
        <w:t xml:space="preserve">  </w:t>
      </w:r>
      <w:r>
        <w:rPr>
          <w:rStyle w:val="DataTypeTok"/>
        </w:rPr>
        <w:t xml:space="preserve">"version"</w:t>
      </w:r>
      <w:r>
        <w:rPr>
          <w:rStyle w:val="FunctionTok"/>
        </w:rPr>
        <w:t xml:space="preserve">:</w:t>
      </w:r>
      <w:r>
        <w:rPr>
          <w:rStyle w:val="NormalTok"/>
        </w:rPr>
        <w:t xml:space="preserve"> </w:t>
      </w:r>
      <w:r>
        <w:rPr>
          <w:rStyle w:val="DecValTok"/>
        </w:rPr>
        <w:t xml:space="preserve">3</w:t>
      </w:r>
      <w:r>
        <w:rPr>
          <w:rStyle w:val="FunctionTok"/>
        </w:rPr>
        <w:t xml:space="preserve">,</w:t>
      </w:r>
      <w:r>
        <w:br/>
      </w:r>
      <w:r>
        <w:rPr>
          <w:rStyle w:val="NormalTok"/>
        </w:rPr>
        <w:t xml:space="preserve">  </w:t>
      </w:r>
      <w:r>
        <w:rPr>
          <w:rStyle w:val="DataTypeTok"/>
        </w:rPr>
        <w:t xml:space="preserve">"settings"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"color"</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"palette"</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"slug"</w:t>
      </w:r>
      <w:r>
        <w:rPr>
          <w:rStyle w:val="FunctionTok"/>
        </w:rPr>
        <w:t xml:space="preserve">:</w:t>
      </w:r>
      <w:r>
        <w:rPr>
          <w:rStyle w:val="NormalTok"/>
        </w:rPr>
        <w:t xml:space="preserve"> </w:t>
      </w:r>
      <w:r>
        <w:rPr>
          <w:rStyle w:val="StringTok"/>
        </w:rPr>
        <w:t xml:space="preserve">"primary"</w:t>
      </w:r>
      <w:r>
        <w:rPr>
          <w:rStyle w:val="FunctionTok"/>
        </w:rPr>
        <w:t xml:space="preserve">,</w:t>
      </w:r>
      <w:r>
        <w:rPr>
          <w:rStyle w:val="NormalTok"/>
        </w:rPr>
        <w:t xml:space="preserve"> </w:t>
      </w:r>
      <w:r>
        <w:rPr>
          <w:rStyle w:val="DataTypeTok"/>
        </w:rPr>
        <w:t xml:space="preserve">"color"</w:t>
      </w:r>
      <w:r>
        <w:rPr>
          <w:rStyle w:val="FunctionTok"/>
        </w:rPr>
        <w:t xml:space="preserve">:</w:t>
      </w:r>
      <w:r>
        <w:rPr>
          <w:rStyle w:val="NormalTok"/>
        </w:rPr>
        <w:t xml:space="preserve"> </w:t>
      </w:r>
      <w:r>
        <w:rPr>
          <w:rStyle w:val="StringTok"/>
        </w:rPr>
        <w:t xml:space="preserve">"#ff5722"</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"Naranja marca"</w:t>
      </w:r>
      <w:r>
        <w:rPr>
          <w:rStyle w:val="NormalTok"/>
        </w:rPr>
        <w:t xml:space="preserve"> </w:t>
      </w:r>
      <w:r>
        <w:rPr>
          <w:rStyle w:val="FunctionTok"/>
        </w:rPr>
        <w:t xml:space="preserve">}</w:t>
      </w:r>
      <w:r>
        <w:br/>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"styles"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"blocks"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"core/button"</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"color"</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"background"</w:t>
      </w:r>
      <w:r>
        <w:rPr>
          <w:rStyle w:val="FunctionTok"/>
        </w:rPr>
        <w:t xml:space="preserve">:</w:t>
      </w:r>
      <w:r>
        <w:rPr>
          <w:rStyle w:val="NormalTok"/>
        </w:rPr>
        <w:t xml:space="preserve"> </w:t>
      </w:r>
      <w:r>
        <w:rPr>
          <w:rStyle w:val="StringTok"/>
        </w:rPr>
        <w:t xml:space="preserve">"var(--wp--preset--color--primary)"</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"#ffffff"</w:t>
      </w:r>
      <w:r>
        <w:br/>
      </w:r>
      <w:r>
        <w:rPr>
          <w:rStyle w:val="NormalTok"/>
        </w:rPr>
        <w:t xml:space="preserve">        </w:t>
      </w:r>
      <w:r>
        <w:rPr>
          <w:rStyle w:val="FunctionTok"/>
        </w:rPr>
        <w:t xml:space="preserve">},</w:t>
      </w:r>
      <w:r>
        <w:br/>
      </w:r>
      <w:r>
        <w:rPr>
          <w:rStyle w:val="NormalTok"/>
        </w:rPr>
        <w:t xml:space="preserve">        </w:t>
      </w:r>
      <w:r>
        <w:rPr>
          <w:rStyle w:val="DataTypeTok"/>
        </w:rPr>
        <w:t xml:space="preserve">"border"</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"radius"</w:t>
      </w:r>
      <w:r>
        <w:rPr>
          <w:rStyle w:val="FunctionTok"/>
        </w:rPr>
        <w:t xml:space="preserve">:</w:t>
      </w:r>
      <w:r>
        <w:rPr>
          <w:rStyle w:val="NormalTok"/>
        </w:rPr>
        <w:t xml:space="preserve"> </w:t>
      </w:r>
      <w:r>
        <w:rPr>
          <w:rStyle w:val="StringTok"/>
        </w:rPr>
        <w:t xml:space="preserve">"8px"</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FunctionTok"/>
        </w:rPr>
        <w:t xml:space="preserve">}</w:t>
      </w:r>
    </w:p>
    <w:p>
      <w:pPr>
        <w:pStyle w:val="FirstParagraph"/>
      </w:pPr>
      <w:r>
        <w:t xml:space="preserve">Por qué es superior al CSS suelto: WordPress genera automáticamente las variables CSS (</w:t>
      </w:r>
      <w:r>
        <w:rPr>
          <w:rStyle w:val="VerbatimChar"/>
        </w:rPr>
        <w:t xml:space="preserve">--wp--preset--color--primary</w:t>
      </w:r>
      <w:r>
        <w:t xml:space="preserve">); el color aparece en el editor para que cualquier persona lo aplique a otros bloques; y un agente puede leer ese JSON para conocer la paleta y aplicarla de forma coherente, algo que no puede hacer con hojas de estilo minificadas.</w:t>
      </w:r>
    </w:p>
    <w:bookmarkEnd w:id="29"/>
    <w:bookmarkStart w:id="30" w:name="Xe02174de1b54b1d7032868901f875083326c923"/>
    <w:p>
      <w:pPr>
        <w:pStyle w:val="Heading3"/>
      </w:pPr>
      <w:r>
        <w:t xml:space="preserve">3.2 Interactivity API: un contador sin jQuery</w:t>
      </w:r>
    </w:p>
    <w:p>
      <w:pPr>
        <w:pStyle w:val="FirstParagraph"/>
      </w:pPr>
      <w:r>
        <w:t xml:space="preserve">La interactividad se declara en el HTML con</w:t>
      </w:r>
      <w:r>
        <w:t xml:space="preserve"> </w:t>
      </w:r>
      <w:r>
        <w:rPr>
          <w:iCs/>
          <w:i/>
        </w:rPr>
        <w:t xml:space="preserve">directivas</w:t>
      </w:r>
      <w:r>
        <w:t xml:space="preserve"> </w:t>
      </w:r>
      <w:r>
        <w:t xml:space="preserve">(</w:t>
      </w:r>
      <w:r>
        <w:rPr>
          <w:rStyle w:val="VerbatimChar"/>
        </w:rPr>
        <w:t xml:space="preserve">data-wp-*</w:t>
      </w:r>
      <w:r>
        <w:t xml:space="preserve">) y el comportamiento vive en un módulo JavaScript asociado al bloque.</w:t>
      </w:r>
    </w:p>
    <w:p>
      <w:pPr>
        <w:pStyle w:val="BodyText"/>
      </w:pPr>
      <w:r>
        <w:rPr>
          <w:rStyle w:val="VerbatimChar"/>
        </w:rPr>
        <w:t xml:space="preserve">render.php</w:t>
      </w:r>
      <w:r>
        <w:t xml:space="preserve"> </w:t>
      </w:r>
      <w:r>
        <w:t xml:space="preserve">del bloque:</w:t>
      </w:r>
    </w:p>
    <w:p>
      <w:pPr>
        <w:pStyle w:val="SourceCode"/>
        <w:shd w:val="clear" w:fill="F3EFE8"/>
      </w:pPr>
      <w:r>
        <w:rPr>
          <w:rStyle w:val="OperatorTok"/>
        </w:rPr>
        <w:t xml:space="preserve">&lt;</w:t>
      </w:r>
      <w:r>
        <w:rPr>
          <w:rStyle w:val="NormalTok"/>
        </w:rPr>
        <w:t xml:space="preserve">div</w:t>
      </w:r>
      <w:r>
        <w:br/>
      </w:r>
      <w:r>
        <w:rPr>
          <w:rStyle w:val="NormalTok"/>
        </w:rPr>
        <w:t xml:space="preserve">  </w:t>
      </w:r>
      <w:r>
        <w:rPr>
          <w:rStyle w:val="OperatorTok"/>
        </w:rPr>
        <w:t xml:space="preserve">&lt;</w:t>
      </w:r>
      <w:r>
        <w:rPr>
          <w:rStyle w:val="OtherTok"/>
        </w:rPr>
        <w:t xml:space="preserve">?</w:t>
      </w:r>
      <w:r>
        <w:rPr>
          <w:rStyle w:val="NormalTok"/>
        </w:rPr>
        <w:t xml:space="preserve">php </w:t>
      </w:r>
      <w:r>
        <w:rPr>
          <w:rStyle w:val="KeywordTok"/>
        </w:rPr>
        <w:t xml:space="preserve">echo</w:t>
      </w:r>
      <w:r>
        <w:rPr>
          <w:rStyle w:val="NormalTok"/>
        </w:rPr>
        <w:t xml:space="preserve"> get_block_wrapper_attributes()</w:t>
      </w:r>
      <w:r>
        <w:rPr>
          <w:rStyle w:val="OtherTok"/>
        </w:rPr>
        <w:t xml:space="preserve">;</w:t>
      </w:r>
      <w:r>
        <w:rPr>
          <w:rStyle w:val="NormalTok"/>
        </w:rPr>
        <w:t xml:space="preserve"> </w:t>
      </w:r>
      <w:r>
        <w:rPr>
          <w:rStyle w:val="KeywordTok"/>
        </w:rPr>
        <w:t xml:space="preserve">?&gt;</w:t>
      </w:r>
      <w:r>
        <w:br/>
      </w:r>
      <w:r>
        <w:rPr>
          <w:rStyle w:val="NormalTok"/>
        </w:rPr>
        <w:t xml:space="preserve">  data</w:t>
      </w:r>
      <w:r>
        <w:rPr>
          <w:rStyle w:val="OperatorTok"/>
        </w:rPr>
        <w:t xml:space="preserve">-</w:t>
      </w:r>
      <w:r>
        <w:rPr>
          <w:rStyle w:val="NormalTok"/>
        </w:rPr>
        <w:t xml:space="preserve">wp</w:t>
      </w:r>
      <w:r>
        <w:rPr>
          <w:rStyle w:val="OperatorTok"/>
        </w:rPr>
        <w:t xml:space="preserve">-</w:t>
      </w:r>
      <w:r>
        <w:rPr>
          <w:rStyle w:val="NormalTok"/>
        </w:rPr>
        <w:t xml:space="preserve">interactive</w:t>
      </w:r>
      <w:r>
        <w:rPr>
          <w:rStyle w:val="OperatorTok"/>
        </w:rPr>
        <w:t xml:space="preserve">=</w:t>
      </w:r>
      <w:r>
        <w:rPr>
          <w:rStyle w:val="StringTok"/>
        </w:rPr>
        <w:t xml:space="preserve">"miContador"</w:t>
      </w:r>
      <w:r>
        <w:br/>
      </w:r>
      <w:r>
        <w:rPr>
          <w:rStyle w:val="NormalTok"/>
        </w:rPr>
        <w:t xml:space="preserve">  </w:t>
      </w:r>
      <w:r>
        <w:rPr>
          <w:rStyle w:val="OperatorTok"/>
        </w:rPr>
        <w:t xml:space="preserve">&lt;</w:t>
      </w:r>
      <w:r>
        <w:rPr>
          <w:rStyle w:val="OtherTok"/>
        </w:rPr>
        <w:t xml:space="preserve">?</w:t>
      </w:r>
      <w:r>
        <w:rPr>
          <w:rStyle w:val="NormalTok"/>
        </w:rPr>
        <w:t xml:space="preserve">php </w:t>
      </w:r>
      <w:r>
        <w:rPr>
          <w:rStyle w:val="KeywordTok"/>
        </w:rPr>
        <w:t xml:space="preserve">echo</w:t>
      </w:r>
      <w:r>
        <w:rPr>
          <w:rStyle w:val="NormalTok"/>
        </w:rPr>
        <w:t xml:space="preserve"> wp_interactivity_data_wp_context( </w:t>
      </w:r>
      <w:r>
        <w:rPr>
          <w:rStyle w:val="DataTypeTok"/>
        </w:rPr>
        <w:t xml:space="preserve">array</w:t>
      </w:r>
      <w:r>
        <w:rPr>
          <w:rStyle w:val="NormalTok"/>
        </w:rPr>
        <w:t xml:space="preserve">( </w:t>
      </w:r>
      <w:r>
        <w:rPr>
          <w:rStyle w:val="StringTok"/>
        </w:rPr>
        <w:t xml:space="preserve">'cuenta'</w:t>
      </w:r>
      <w:r>
        <w:rPr>
          <w:rStyle w:val="NormalTok"/>
        </w:rPr>
        <w:t xml:space="preserve"> =&gt; </w:t>
      </w:r>
      <w:r>
        <w:rPr>
          <w:rStyle w:val="DecValTok"/>
        </w:rPr>
        <w:t xml:space="preserve">0</w:t>
      </w:r>
      <w:r>
        <w:rPr>
          <w:rStyle w:val="NormalTok"/>
        </w:rPr>
        <w:t xml:space="preserve"> ) )</w:t>
      </w:r>
      <w:r>
        <w:rPr>
          <w:rStyle w:val="OtherTok"/>
        </w:rPr>
        <w:t xml:space="preserve">;</w:t>
      </w:r>
      <w:r>
        <w:rPr>
          <w:rStyle w:val="NormalTok"/>
        </w:rPr>
        <w:t xml:space="preserve"> </w:t>
      </w:r>
      <w:r>
        <w:rPr>
          <w:rStyle w:val="KeywordTok"/>
        </w:rPr>
        <w:t xml:space="preserve">?&gt;</w:t>
      </w:r>
      <w:r>
        <w:br/>
      </w:r>
      <w:r>
        <w:rPr>
          <w:rStyle w:val="OperatorTok"/>
        </w:rPr>
        <w:t xml:space="preserve">&gt;</w:t>
      </w:r>
      <w:r>
        <w:br/>
      </w:r>
      <w:r>
        <w:rPr>
          <w:rStyle w:val="NormalTok"/>
        </w:rPr>
        <w:t xml:space="preserve">  </w:t>
      </w:r>
      <w:r>
        <w:rPr>
          <w:rStyle w:val="OperatorTok"/>
        </w:rPr>
        <w:t xml:space="preserve">&lt;</w:t>
      </w:r>
      <w:r>
        <w:rPr>
          <w:rStyle w:val="NormalTok"/>
        </w:rPr>
        <w:t xml:space="preserve">p</w:t>
      </w:r>
      <w:r>
        <w:rPr>
          <w:rStyle w:val="OperatorTok"/>
        </w:rPr>
        <w:t xml:space="preserve">&gt;</w:t>
      </w:r>
      <w:r>
        <w:rPr>
          <w:rStyle w:val="ConstantTok"/>
        </w:rPr>
        <w:t xml:space="preserve">H</w:t>
      </w:r>
      <w:r>
        <w:rPr>
          <w:rStyle w:val="NormalTok"/>
        </w:rPr>
        <w:t xml:space="preserve">as hecho clic </w:t>
      </w:r>
      <w:r>
        <w:rPr>
          <w:rStyle w:val="OperatorTok"/>
        </w:rPr>
        <w:t xml:space="preserve">&lt;</w:t>
      </w:r>
      <w:r>
        <w:rPr>
          <w:rStyle w:val="NormalTok"/>
        </w:rPr>
        <w:t xml:space="preserve">span data</w:t>
      </w:r>
      <w:r>
        <w:rPr>
          <w:rStyle w:val="OperatorTok"/>
        </w:rPr>
        <w:t xml:space="preserve">-</w:t>
      </w:r>
      <w:r>
        <w:rPr>
          <w:rStyle w:val="NormalTok"/>
        </w:rPr>
        <w:t xml:space="preserve">wp</w:t>
      </w:r>
      <w:r>
        <w:rPr>
          <w:rStyle w:val="OperatorTok"/>
        </w:rPr>
        <w:t xml:space="preserve">-</w:t>
      </w:r>
      <w:r>
        <w:rPr>
          <w:rStyle w:val="NormalTok"/>
        </w:rPr>
        <w:t xml:space="preserve">text</w:t>
      </w:r>
      <w:r>
        <w:rPr>
          <w:rStyle w:val="OperatorTok"/>
        </w:rPr>
        <w:t xml:space="preserve">=</w:t>
      </w:r>
      <w:r>
        <w:rPr>
          <w:rStyle w:val="StringTok"/>
        </w:rPr>
        <w:t xml:space="preserve">"context.cuenta"</w:t>
      </w:r>
      <w:r>
        <w:rPr>
          <w:rStyle w:val="OperatorTok"/>
        </w:rPr>
        <w:t xml:space="preserve">&gt;</w:t>
      </w:r>
      <w:r>
        <w:rPr>
          <w:rStyle w:val="DecValTok"/>
        </w:rPr>
        <w:t xml:space="preserve">0</w:t>
      </w:r>
      <w:r>
        <w:rPr>
          <w:rStyle w:val="OperatorTok"/>
        </w:rPr>
        <w:t xml:space="preserve">&lt;/</w:t>
      </w:r>
      <w:r>
        <w:rPr>
          <w:rStyle w:val="NormalTok"/>
        </w:rPr>
        <w:t xml:space="preserve">span</w:t>
      </w:r>
      <w:r>
        <w:rPr>
          <w:rStyle w:val="OperatorTok"/>
        </w:rPr>
        <w:t xml:space="preserve">&gt;</w:t>
      </w:r>
      <w:r>
        <w:rPr>
          <w:rStyle w:val="NormalTok"/>
        </w:rPr>
        <w:t xml:space="preserve"> veces</w:t>
      </w:r>
      <w:r>
        <w:rPr>
          <w:rStyle w:val="OperatorTok"/>
        </w:rPr>
        <w:t xml:space="preserve">.&lt;/</w:t>
      </w:r>
      <w:r>
        <w:rPr>
          <w:rStyle w:val="NormalTok"/>
        </w:rPr>
        <w:t xml:space="preserve">p</w:t>
      </w:r>
      <w:r>
        <w:rPr>
          <w:rStyle w:val="OperatorTok"/>
        </w:rPr>
        <w:t xml:space="preserve">&gt;</w:t>
      </w:r>
      <w:r>
        <w:br/>
      </w:r>
      <w:r>
        <w:rPr>
          <w:rStyle w:val="NormalTok"/>
        </w:rPr>
        <w:t xml:space="preserve">  </w:t>
      </w:r>
      <w:r>
        <w:rPr>
          <w:rStyle w:val="OperatorTok"/>
        </w:rPr>
        <w:t xml:space="preserve">&lt;</w:t>
      </w:r>
      <w:r>
        <w:rPr>
          <w:rStyle w:val="NormalTok"/>
        </w:rPr>
        <w:t xml:space="preserve">button data</w:t>
      </w:r>
      <w:r>
        <w:rPr>
          <w:rStyle w:val="OperatorTok"/>
        </w:rPr>
        <w:t xml:space="preserve">-</w:t>
      </w:r>
      <w:r>
        <w:rPr>
          <w:rStyle w:val="NormalTok"/>
        </w:rPr>
        <w:t xml:space="preserve">wp</w:t>
      </w:r>
      <w:r>
        <w:rPr>
          <w:rStyle w:val="OperatorTok"/>
        </w:rPr>
        <w:t xml:space="preserve">-</w:t>
      </w:r>
      <w:r>
        <w:rPr>
          <w:rStyle w:val="NormalTok"/>
        </w:rPr>
        <w:t xml:space="preserve">on</w:t>
      </w:r>
      <w:r>
        <w:rPr>
          <w:rStyle w:val="OperatorTok"/>
        </w:rPr>
        <w:t xml:space="preserve">--</w:t>
      </w:r>
      <w:r>
        <w:rPr>
          <w:rStyle w:val="NormalTok"/>
        </w:rPr>
        <w:t xml:space="preserve">click</w:t>
      </w:r>
      <w:r>
        <w:rPr>
          <w:rStyle w:val="OperatorTok"/>
        </w:rPr>
        <w:t xml:space="preserve">=</w:t>
      </w:r>
      <w:r>
        <w:rPr>
          <w:rStyle w:val="StringTok"/>
        </w:rPr>
        <w:t xml:space="preserve">"actions.incrementar"</w:t>
      </w:r>
      <w:r>
        <w:rPr>
          <w:rStyle w:val="OperatorTok"/>
        </w:rPr>
        <w:t xml:space="preserve">&gt;</w:t>
      </w:r>
      <w:r>
        <w:rPr>
          <w:rStyle w:val="ConstantTok"/>
        </w:rPr>
        <w:t xml:space="preserve">S</w:t>
      </w:r>
      <w:r>
        <w:rPr>
          <w:rStyle w:val="NormalTok"/>
        </w:rPr>
        <w:t xml:space="preserve">umar </w:t>
      </w:r>
      <w:r>
        <w:rPr>
          <w:rStyle w:val="OperatorTok"/>
        </w:rPr>
        <w:t xml:space="preserve">+</w:t>
      </w:r>
      <w:r>
        <w:rPr>
          <w:rStyle w:val="DecValTok"/>
        </w:rPr>
        <w:t xml:space="preserve">1</w:t>
      </w:r>
      <w:r>
        <w:rPr>
          <w:rStyle w:val="OperatorTok"/>
        </w:rPr>
        <w:t xml:space="preserve">&lt;/</w:t>
      </w:r>
      <w:r>
        <w:rPr>
          <w:rStyle w:val="NormalTok"/>
        </w:rPr>
        <w:t xml:space="preserve">button</w:t>
      </w:r>
      <w:r>
        <w:rPr>
          <w:rStyle w:val="OperatorTok"/>
        </w:rPr>
        <w:t xml:space="preserve">&gt;</w:t>
      </w:r>
      <w:r>
        <w:br/>
      </w:r>
      <w:r>
        <w:rPr>
          <w:rStyle w:val="OperatorTok"/>
        </w:rPr>
        <w:t xml:space="preserve">&lt;/</w:t>
      </w:r>
      <w:r>
        <w:rPr>
          <w:rStyle w:val="NormalTok"/>
        </w:rPr>
        <w:t xml:space="preserve">div</w:t>
      </w:r>
      <w:r>
        <w:rPr>
          <w:rStyle w:val="OperatorTok"/>
        </w:rPr>
        <w:t xml:space="preserve">&gt;</w:t>
      </w:r>
    </w:p>
    <w:p>
      <w:pPr>
        <w:pStyle w:val="FirstParagraph"/>
      </w:pPr>
      <w:r>
        <w:rPr>
          <w:rStyle w:val="VerbatimChar"/>
        </w:rPr>
        <w:t xml:space="preserve">view.js</w:t>
      </w:r>
      <w:r>
        <w:t xml:space="preserve">:</w:t>
      </w:r>
    </w:p>
    <w:p>
      <w:pPr>
        <w:pStyle w:val="SourceCode"/>
        <w:shd w:val="clear" w:fill="F3EFE8"/>
      </w:pPr>
      <w:r>
        <w:rPr>
          <w:rStyle w:val="ImportTok"/>
        </w:rPr>
        <w:t xml:space="preserve">import</w:t>
      </w:r>
      <w:r>
        <w:rPr>
          <w:rStyle w:val="NormalTok"/>
        </w:rPr>
        <w:t xml:space="preserve"> { store</w:t>
      </w:r>
      <w:r>
        <w:rPr>
          <w:rStyle w:val="OperatorTok"/>
        </w:rPr>
        <w:t xml:space="preserve">,</w:t>
      </w:r>
      <w:r>
        <w:rPr>
          <w:rStyle w:val="NormalTok"/>
        </w:rPr>
        <w:t xml:space="preserve"> getContext } </w:t>
      </w:r>
      <w:r>
        <w:rPr>
          <w:rStyle w:val="ImportTok"/>
        </w:rPr>
        <w:t xml:space="preserve">from</w:t>
      </w:r>
      <w:r>
        <w:rPr>
          <w:rStyle w:val="NormalTok"/>
        </w:rPr>
        <w:t xml:space="preserve"> </w:t>
      </w:r>
      <w:r>
        <w:rPr>
          <w:rStyle w:val="StringTok"/>
        </w:rPr>
        <w:t xml:space="preserve">'@wordpress/interactivity'</w:t>
      </w:r>
      <w:r>
        <w:rPr>
          <w:rStyle w:val="OperatorTok"/>
        </w:rPr>
        <w:t xml:space="preserve">;</w:t>
      </w:r>
      <w:r>
        <w:br/>
      </w:r>
      <w:r>
        <w:br/>
      </w:r>
      <w:r>
        <w:rPr>
          <w:rStyle w:val="FunctionTok"/>
        </w:rPr>
        <w:t xml:space="preserve">store</w:t>
      </w:r>
      <w:r>
        <w:rPr>
          <w:rStyle w:val="NormalTok"/>
        </w:rPr>
        <w:t xml:space="preserve">( </w:t>
      </w:r>
      <w:r>
        <w:rPr>
          <w:rStyle w:val="StringTok"/>
        </w:rPr>
        <w:t xml:space="preserve">'miContador'</w:t>
      </w:r>
      <w:r>
        <w:rPr>
          <w:rStyle w:val="OperatorTok"/>
        </w:rPr>
        <w:t xml:space="preserve">,</w:t>
      </w:r>
      <w:r>
        <w:rPr>
          <w:rStyle w:val="NormalTok"/>
        </w:rPr>
        <w:t xml:space="preserve"> {</w:t>
      </w:r>
      <w:r>
        <w:br/>
      </w:r>
      <w:r>
        <w:rPr>
          <w:rStyle w:val="NormalTok"/>
        </w:rPr>
        <w:t xml:space="preserve">  </w:t>
      </w:r>
      <w:r>
        <w:rPr>
          <w:rStyle w:val="DataTypeTok"/>
        </w:rPr>
        <w:t xml:space="preserve">actions</w:t>
      </w:r>
      <w:r>
        <w:rPr>
          <w:rStyle w:val="OperatorTok"/>
        </w:rPr>
        <w:t xml:space="preserve">:</w:t>
      </w:r>
      <w:r>
        <w:rPr>
          <w:rStyle w:val="NormalTok"/>
        </w:rPr>
        <w:t xml:space="preserve"> {</w:t>
      </w:r>
      <w:r>
        <w:br/>
      </w:r>
      <w:r>
        <w:rPr>
          <w:rStyle w:val="NormalTok"/>
        </w:rPr>
        <w:t xml:space="preserve">    </w:t>
      </w:r>
      <w:r>
        <w:rPr>
          <w:rStyle w:val="DataTypeTok"/>
        </w:rPr>
        <w:t xml:space="preserve">incrementar</w:t>
      </w:r>
      <w:r>
        <w:rPr>
          <w:rStyle w:val="OperatorTok"/>
        </w:rPr>
        <w:t xml:space="preserve">:</w:t>
      </w:r>
      <w:r>
        <w:rPr>
          <w:rStyle w:val="NormalTok"/>
        </w:rPr>
        <w:t xml:space="preserve"> () </w:t>
      </w:r>
      <w:r>
        <w:rPr>
          <w:rStyle w:val="KeywordTok"/>
        </w:rPr>
        <w:t xml:space="preserve">=&gt;</w:t>
      </w:r>
      <w:r>
        <w:rPr>
          <w:rStyle w:val="NormalTok"/>
        </w:rPr>
        <w:t xml:space="preserve"> {</w:t>
      </w:r>
      <w:r>
        <w:br/>
      </w:r>
      <w:r>
        <w:rPr>
          <w:rStyle w:val="NormalTok"/>
        </w:rPr>
        <w:t xml:space="preserve">      </w:t>
      </w:r>
      <w:r>
        <w:rPr>
          <w:rStyle w:val="KeywordTok"/>
        </w:rPr>
        <w:t xml:space="preserve">const</w:t>
      </w:r>
      <w:r>
        <w:rPr>
          <w:rStyle w:val="NormalTok"/>
        </w:rPr>
        <w:t xml:space="preserve"> context </w:t>
      </w:r>
      <w:r>
        <w:rPr>
          <w:rStyle w:val="OperatorTok"/>
        </w:rPr>
        <w:t xml:space="preserve">=</w:t>
      </w:r>
      <w:r>
        <w:rPr>
          <w:rStyle w:val="NormalTok"/>
        </w:rPr>
        <w:t xml:space="preserve"> </w:t>
      </w:r>
      <w:r>
        <w:rPr>
          <w:rStyle w:val="FunctionTok"/>
        </w:rPr>
        <w:t xml:space="preserve">getContext</w:t>
      </w:r>
      <w:r>
        <w:rPr>
          <w:rStyle w:val="NormalTok"/>
        </w:rPr>
        <w:t xml:space="preserve">()</w:t>
      </w:r>
      <w:r>
        <w:rPr>
          <w:rStyle w:val="OperatorTok"/>
        </w:rPr>
        <w:t xml:space="preserve">;</w:t>
      </w:r>
      <w:r>
        <w:br/>
      </w:r>
      <w:r>
        <w:rPr>
          <w:rStyle w:val="NormalTok"/>
        </w:rPr>
        <w:t xml:space="preserve">      context</w:t>
      </w:r>
      <w:r>
        <w:rPr>
          <w:rStyle w:val="OperatorTok"/>
        </w:rPr>
        <w:t xml:space="preserve">.</w:t>
      </w:r>
      <w:r>
        <w:rPr>
          <w:rStyle w:val="AttributeTok"/>
        </w:rPr>
        <w:t xml:space="preserve">cuenta</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p>
    <w:p>
      <w:pPr>
        <w:pStyle w:val="FirstParagraph"/>
      </w:pPr>
      <w:r>
        <w:t xml:space="preserve">Para que funcione, el</w:t>
      </w:r>
      <w:r>
        <w:t xml:space="preserve"> </w:t>
      </w:r>
      <w:r>
        <w:rPr>
          <w:rStyle w:val="VerbatimChar"/>
        </w:rPr>
        <w:t xml:space="preserve">block.json</w:t>
      </w:r>
      <w:r>
        <w:t xml:space="preserve"> </w:t>
      </w:r>
      <w:r>
        <w:t xml:space="preserve">del bloque debe declarar el soporte (</w:t>
      </w:r>
      <w:r>
        <w:rPr>
          <w:rStyle w:val="VerbatimChar"/>
        </w:rPr>
        <w:t xml:space="preserve">"supports": { "interactivity": true }</w:t>
      </w:r>
      <w:r>
        <w:t xml:space="preserve">) y registrar el módulo de frontend (</w:t>
      </w:r>
      <w:r>
        <w:rPr>
          <w:rStyle w:val="VerbatimChar"/>
        </w:rPr>
        <w:t xml:space="preserve">"viewScriptModule": "file:./view.js"</w:t>
      </w:r>
      <w:r>
        <w:t xml:space="preserve">). Ventajas: el HTML es autoexplicativo, no se carga jQuery ni React en el frontend, y el estado reactivo sigue un modelo estándar. Matiz de caché: el HTML del bloque sigue siendo cacheable, pero cualquier dato que dependa del usuario (carrito, sesión) debe tratarse aparte y no cachearse como si fuera común.</w:t>
      </w:r>
    </w:p>
    <w:bookmarkEnd w:id="30"/>
    <w:bookmarkEnd w:id="31"/>
    <w:bookmarkStart w:id="38" w:name="Xb74eb45a2cbb67fd24811f5f6edf117869b43bb"/>
    <w:p>
      <w:pPr>
        <w:pStyle w:val="Heading2"/>
      </w:pPr>
      <w:r>
        <w:t xml:space="preserve">4. Glosario por capas</w:t>
      </w:r>
    </w:p>
    <w:p>
      <w:pPr>
        <w:pStyle w:val="FirstParagraph"/>
      </w:pPr>
      <w:r>
        <w:t xml:space="preserve">Organizado de lo más estructural a lo más específico. Los términos marcados con</w:t>
      </w:r>
      <w:r>
        <w:t xml:space="preserve"> </w:t>
      </w:r>
      <w:r>
        <w:rPr>
          <w:bCs/>
          <w:b/>
        </w:rPr>
        <w:t xml:space="preserve">(+)</w:t>
      </w:r>
      <w:r>
        <w:t xml:space="preserve"> </w:t>
      </w:r>
      <w:r>
        <w:t xml:space="preserve">son añadidos respecto al glosario original.</w:t>
      </w:r>
    </w:p>
    <w:bookmarkStart w:id="32" w:name="nivel-1--cimientos-y-paradigma"/>
    <w:p>
      <w:pPr>
        <w:pStyle w:val="Heading3"/>
      </w:pPr>
      <w:r>
        <w:t xml:space="preserve">Nivel 1 — Cimientos y paradigma</w:t>
      </w:r>
    </w:p>
    <w:tbl>
      <w:tblPr>
        <w:tblStyle w:val="Table"/>
        <w:tblLook w:firstRow="1" w:lastRow="0" w:firstColumn="0" w:lastColumn="0" w:noHBand="0" w:noVBand="0" w:val="0020"/>
        <w:jc w:val="start"/>
        <w:tblBorders>
          <w:top w:val="single" w:sz="4" w:color="D9D2C3"/>
          <w:left w:val="single" w:sz="4" w:color="D9D2C3"/>
          <w:bottom w:val="single" w:sz="4" w:color="D9D2C3"/>
          <w:right w:val="single" w:sz="4" w:color="D9D2C3"/>
          <w:insideH w:val="single" w:sz="4" w:color="D9D2C3"/>
          <w:insideV w:val="single" w:sz="4" w:color="D9D2C3"/>
        </w:tblBorders>
        <w:tblW w:w="5000" w:type="pct"/>
        <w:tblLayout w:type="fixed"/>
      </w:tblPr>
      <w:tblGrid>
        <w:gridCol w:w="2381"/>
        <w:gridCol w:w="7256"/>
      </w:tblGrid>
      <w:tr>
        <w:trPr>
          <w:tblHeader w:val="true"/>
        </w:trPr>
        <w:tc>
          <w:tcPr>
            <w:tcW w:type="dxa" w:w="2381"/>
            <w:shd w:val="clear" w:fill="F3EFE8"/>
            <w:tcMar>
              <w:top w:w="60" w:type="dxa"/>
              <w:bottom w:w="60" w:type="dxa"/>
              <w:left w:w="100" w:type="dxa"/>
              <w:right w:w="100" w:type="dxa"/>
            </w:tcMar>
          </w:tcPr>
          <w:p>
            <w:pPr>
              <w:pStyle w:val="Compact"/>
              <w:jc w:val="left"/>
            </w:pPr>
            <w:r>
              <w:rPr>
                <w:b/>
                <w:sz w:val="19"/>
              </w:rPr>
              <w:t xml:space="preserve">Término</w:t>
            </w:r>
          </w:p>
        </w:tc>
        <w:tc>
          <w:tcPr>
            <w:tcW w:type="dxa" w:w="7257"/>
            <w:shd w:val="clear" w:fill="F3EFE8"/>
            <w:tcMar>
              <w:top w:w="60" w:type="dxa"/>
              <w:bottom w:w="60" w:type="dxa"/>
              <w:left w:w="100" w:type="dxa"/>
              <w:right w:w="100" w:type="dxa"/>
            </w:tcMar>
          </w:tcPr>
          <w:p>
            <w:pPr>
              <w:pStyle w:val="Compact"/>
              <w:jc w:val="left"/>
            </w:pPr>
            <w:r>
              <w:rPr>
                <w:b/>
                <w:sz w:val="19"/>
              </w:rPr>
              <w:t xml:space="preserve">Definición</w:t>
            </w:r>
          </w:p>
        </w:tc>
      </w:tr>
      <w:tr>
        <w:tc>
          <w:tcPr>
            <w:tcW w:type="dxa" w:w="2381"/>
            <w:tcMar>
              <w:top w:w="60" w:type="dxa"/>
              <w:bottom w:w="60" w:type="dxa"/>
              <w:left w:w="100" w:type="dxa"/>
              <w:right w:w="100" w:type="dxa"/>
            </w:tcMar>
          </w:tcPr>
          <w:p>
            <w:pPr>
              <w:pStyle w:val="Compact"/>
              <w:jc w:val="left"/>
            </w:pPr>
            <w:r>
              <w:rPr>
                <w:bCs/>
                <w:b/>
                <w:sz w:val="19"/>
              </w:rPr>
              <w:t xml:space="preserve">Core (núcleo de WordPress)</w:t>
            </w:r>
          </w:p>
        </w:tc>
        <w:tc>
          <w:tcPr>
            <w:tcW w:type="dxa" w:w="7257"/>
            <w:tcMar>
              <w:top w:w="60" w:type="dxa"/>
              <w:bottom w:w="60" w:type="dxa"/>
              <w:left w:w="100" w:type="dxa"/>
              <w:right w:w="100" w:type="dxa"/>
            </w:tcMar>
          </w:tcPr>
          <w:p>
            <w:pPr>
              <w:pStyle w:val="Compact"/>
              <w:jc w:val="left"/>
            </w:pPr>
            <w:r>
              <w:rPr>
                <w:sz w:val="19"/>
              </w:rPr>
              <w:t xml:space="preserve">Código base y archivos fundamentales de WordPress. Regla inquebrantable: no se modifica. No confundir con «Bloques del Core», que son los bloques nativos que el núcleo incluye.</w:t>
            </w:r>
          </w:p>
        </w:tc>
      </w:tr>
      <w:tr>
        <w:tc>
          <w:tcPr>
            <w:tcW w:type="dxa" w:w="2381"/>
            <w:tcMar>
              <w:top w:w="60" w:type="dxa"/>
              <w:bottom w:w="60" w:type="dxa"/>
              <w:left w:w="100" w:type="dxa"/>
              <w:right w:w="100" w:type="dxa"/>
            </w:tcMar>
          </w:tcPr>
          <w:p>
            <w:pPr>
              <w:pStyle w:val="Compact"/>
              <w:jc w:val="left"/>
            </w:pPr>
            <w:r>
              <w:rPr>
                <w:bCs/>
                <w:b/>
                <w:sz w:val="19"/>
              </w:rPr>
              <w:t xml:space="preserve">Framework</w:t>
            </w:r>
          </w:p>
        </w:tc>
        <w:tc>
          <w:tcPr>
            <w:tcW w:type="dxa" w:w="7257"/>
            <w:tcMar>
              <w:top w:w="60" w:type="dxa"/>
              <w:bottom w:w="60" w:type="dxa"/>
              <w:left w:w="100" w:type="dxa"/>
              <w:right w:w="100" w:type="dxa"/>
            </w:tcMar>
          </w:tcPr>
          <w:p>
            <w:pPr>
              <w:pStyle w:val="Compact"/>
              <w:jc w:val="left"/>
            </w:pPr>
            <w:r>
              <w:rPr>
                <w:sz w:val="19"/>
              </w:rPr>
              <w:t xml:space="preserve">Entorno con reglas, estándares y herramientas predefinidas. Entender WordPress como framework significa aprovechar su infraestructura (usuarios, base de datos, rutas, permisos, editor) para construir cualquier aplicación web.</w:t>
            </w:r>
          </w:p>
        </w:tc>
      </w:tr>
      <w:tr>
        <w:tc>
          <w:tcPr>
            <w:tcW w:type="dxa" w:w="2381"/>
            <w:tcMar>
              <w:top w:w="60" w:type="dxa"/>
              <w:bottom w:w="60" w:type="dxa"/>
              <w:left w:w="100" w:type="dxa"/>
              <w:right w:w="100" w:type="dxa"/>
            </w:tcMar>
          </w:tcPr>
          <w:p>
            <w:pPr>
              <w:pStyle w:val="Compact"/>
              <w:jc w:val="left"/>
            </w:pPr>
            <w:r>
              <w:rPr>
                <w:bCs/>
                <w:b/>
                <w:sz w:val="19"/>
              </w:rPr>
              <w:t xml:space="preserve">Gutenberg</w:t>
            </w:r>
          </w:p>
        </w:tc>
        <w:tc>
          <w:tcPr>
            <w:tcW w:type="dxa" w:w="7257"/>
            <w:tcMar>
              <w:top w:w="60" w:type="dxa"/>
              <w:bottom w:w="60" w:type="dxa"/>
              <w:left w:w="100" w:type="dxa"/>
              <w:right w:w="100" w:type="dxa"/>
            </w:tcMar>
          </w:tcPr>
          <w:p>
            <w:pPr>
              <w:pStyle w:val="Compact"/>
              <w:jc w:val="left"/>
            </w:pPr>
            <w:r>
              <w:rPr>
                <w:sz w:val="19"/>
              </w:rPr>
              <w:t xml:space="preserve">Proyecto que introdujo el editor de bloques (desde WordPress 5.0) y plan a largo plazo en cuatro fases: edición, personalización, colaboración y multilingüe. Es el motor visual y estructural del WordPress moderno.</w:t>
            </w:r>
          </w:p>
        </w:tc>
      </w:tr>
      <w:tr>
        <w:tc>
          <w:tcPr>
            <w:tcW w:type="dxa" w:w="2381"/>
            <w:tcMar>
              <w:top w:w="60" w:type="dxa"/>
              <w:bottom w:w="60" w:type="dxa"/>
              <w:left w:w="100" w:type="dxa"/>
              <w:right w:w="100" w:type="dxa"/>
            </w:tcMar>
          </w:tcPr>
          <w:p>
            <w:pPr>
              <w:pStyle w:val="Compact"/>
              <w:jc w:val="left"/>
            </w:pPr>
            <w:r>
              <w:rPr>
                <w:bCs/>
                <w:b/>
                <w:sz w:val="19"/>
              </w:rPr>
              <w:t xml:space="preserve">FSE (Full Site Editing)</w:t>
            </w:r>
          </w:p>
        </w:tc>
        <w:tc>
          <w:tcPr>
            <w:tcW w:type="dxa" w:w="7257"/>
            <w:tcMar>
              <w:top w:w="60" w:type="dxa"/>
              <w:bottom w:w="60" w:type="dxa"/>
              <w:left w:w="100" w:type="dxa"/>
              <w:right w:w="100" w:type="dxa"/>
            </w:tcMar>
          </w:tcPr>
          <w:p>
            <w:pPr>
              <w:pStyle w:val="Compact"/>
              <w:jc w:val="left"/>
            </w:pPr>
            <w:r>
              <w:rPr>
                <w:sz w:val="19"/>
              </w:rPr>
              <w:t xml:space="preserve">Resultado de la fase de personalización de Gutenberg: los bloques construyen no solo el contenido de las páginas sino todo el sitio (cabecera, pie, plantillas, navegación). Consolidado desde WordPress 6.3.</w:t>
            </w:r>
          </w:p>
        </w:tc>
      </w:tr>
      <w:tr>
        <w:tc>
          <w:tcPr>
            <w:tcW w:type="dxa" w:w="2381"/>
            <w:tcMar>
              <w:top w:w="60" w:type="dxa"/>
              <w:bottom w:w="60" w:type="dxa"/>
              <w:left w:w="100" w:type="dxa"/>
              <w:right w:w="100" w:type="dxa"/>
            </w:tcMar>
          </w:tcPr>
          <w:p>
            <w:pPr>
              <w:pStyle w:val="Compact"/>
              <w:jc w:val="left"/>
            </w:pPr>
            <w:r>
              <w:rPr>
                <w:bCs/>
                <w:b/>
                <w:sz w:val="19"/>
              </w:rPr>
              <w:t xml:space="preserve">Tema de bloques (block theme) (+)</w:t>
            </w:r>
          </w:p>
        </w:tc>
        <w:tc>
          <w:tcPr>
            <w:tcW w:type="dxa" w:w="7257"/>
            <w:tcMar>
              <w:top w:w="60" w:type="dxa"/>
              <w:bottom w:w="60" w:type="dxa"/>
              <w:left w:w="100" w:type="dxa"/>
              <w:right w:w="100" w:type="dxa"/>
            </w:tcMar>
          </w:tcPr>
          <w:p>
            <w:pPr>
              <w:pStyle w:val="Compact"/>
              <w:jc w:val="left"/>
            </w:pPr>
            <w:r>
              <w:rPr>
                <w:sz w:val="19"/>
              </w:rPr>
              <w:t xml:space="preserve">Tema construido con plantillas y partes hechas de bloques y un archivo</w:t>
            </w:r>
            <w:r>
              <w:rPr>
                <w:sz w:val="19"/>
              </w:rPr>
              <w:t xml:space="preserve"> </w:t>
            </w:r>
            <w:r>
              <w:rPr>
                <w:rStyle w:val="VerbatimChar"/>
                <w:sz w:val="19"/>
              </w:rPr>
              <w:t xml:space="preserve">theme.json</w:t>
            </w:r>
            <w:r>
              <w:rPr>
                <w:sz w:val="19"/>
              </w:rPr>
              <w:t xml:space="preserve">, en vez de PHP de plantilla rígido. Es la base técnica de FSE.</w:t>
            </w:r>
          </w:p>
        </w:tc>
      </w:tr>
      <w:tr>
        <w:tc>
          <w:tcPr>
            <w:tcW w:type="dxa" w:w="2381"/>
            <w:tcMar>
              <w:top w:w="60" w:type="dxa"/>
              <w:bottom w:w="60" w:type="dxa"/>
              <w:left w:w="100" w:type="dxa"/>
              <w:right w:w="100" w:type="dxa"/>
            </w:tcMar>
          </w:tcPr>
          <w:p>
            <w:pPr>
              <w:pStyle w:val="Compact"/>
              <w:jc w:val="left"/>
            </w:pPr>
            <w:r>
              <w:rPr>
                <w:bCs/>
                <w:b/>
                <w:sz w:val="19"/>
              </w:rPr>
              <w:t xml:space="preserve">Site Editor (+)</w:t>
            </w:r>
          </w:p>
        </w:tc>
        <w:tc>
          <w:tcPr>
            <w:tcW w:type="dxa" w:w="7257"/>
            <w:tcMar>
              <w:top w:w="60" w:type="dxa"/>
              <w:bottom w:w="60" w:type="dxa"/>
              <w:left w:w="100" w:type="dxa"/>
              <w:right w:w="100" w:type="dxa"/>
            </w:tcMar>
          </w:tcPr>
          <w:p>
            <w:pPr>
              <w:pStyle w:val="Compact"/>
              <w:jc w:val="left"/>
            </w:pPr>
            <w:r>
              <w:rPr>
                <w:sz w:val="19"/>
              </w:rPr>
              <w:t xml:space="preserve">Pantalla de WordPress donde se edita de forma unificada toda la estructura del sitio en modo FSE. Sigue disponible para el administrador aunque trabaje un agente.</w:t>
            </w:r>
          </w:p>
        </w:tc>
      </w:tr>
      <w:tr>
        <w:tc>
          <w:tcPr>
            <w:tcW w:type="dxa" w:w="2381"/>
            <w:tcMar>
              <w:top w:w="60" w:type="dxa"/>
              <w:bottom w:w="60" w:type="dxa"/>
              <w:left w:w="100" w:type="dxa"/>
              <w:right w:w="100" w:type="dxa"/>
            </w:tcMar>
          </w:tcPr>
          <w:p>
            <w:pPr>
              <w:pStyle w:val="Compact"/>
              <w:jc w:val="left"/>
            </w:pPr>
            <w:r>
              <w:rPr>
                <w:bCs/>
                <w:b/>
                <w:sz w:val="19"/>
              </w:rPr>
              <w:t xml:space="preserve">Headless WordPress (+)</w:t>
            </w:r>
          </w:p>
        </w:tc>
        <w:tc>
          <w:tcPr>
            <w:tcW w:type="dxa" w:w="7257"/>
            <w:tcMar>
              <w:top w:w="60" w:type="dxa"/>
              <w:bottom w:w="60" w:type="dxa"/>
              <w:left w:w="100" w:type="dxa"/>
              <w:right w:w="100" w:type="dxa"/>
            </w:tcMar>
          </w:tcPr>
          <w:p>
            <w:pPr>
              <w:pStyle w:val="Compact"/>
              <w:jc w:val="left"/>
            </w:pPr>
            <w:r>
              <w:rPr>
                <w:sz w:val="19"/>
              </w:rPr>
              <w:t xml:space="preserve">Arquitectura donde WordPress solo gestiona el contenido y lo entrega por API, y el frontend se construye con tecnología externa (React, Vue, Next.js...).</w:t>
            </w:r>
          </w:p>
        </w:tc>
      </w:tr>
    </w:tbl>
    <w:bookmarkEnd w:id="32"/>
    <w:bookmarkStart w:id="33" w:name="nivel-2--diseño-y-componentes-visuales"/>
    <w:p>
      <w:pPr>
        <w:pStyle w:val="Heading3"/>
      </w:pPr>
      <w:r>
        <w:t xml:space="preserve">Nivel 2 — Diseño y componentes visuales</w:t>
      </w:r>
    </w:p>
    <w:tbl>
      <w:tblPr>
        <w:tblStyle w:val="Table"/>
        <w:tblLook w:firstRow="1" w:lastRow="0" w:firstColumn="0" w:lastColumn="0" w:noHBand="0" w:noVBand="0" w:val="0020"/>
        <w:jc w:val="start"/>
        <w:tblBorders>
          <w:top w:val="single" w:sz="4" w:color="D9D2C3"/>
          <w:left w:val="single" w:sz="4" w:color="D9D2C3"/>
          <w:bottom w:val="single" w:sz="4" w:color="D9D2C3"/>
          <w:right w:val="single" w:sz="4" w:color="D9D2C3"/>
          <w:insideH w:val="single" w:sz="4" w:color="D9D2C3"/>
          <w:insideV w:val="single" w:sz="4" w:color="D9D2C3"/>
        </w:tblBorders>
        <w:tblW w:w="5000" w:type="pct"/>
        <w:tblLayout w:type="fixed"/>
      </w:tblPr>
      <w:tblGrid>
        <w:gridCol w:w="2381"/>
        <w:gridCol w:w="7256"/>
      </w:tblGrid>
      <w:tr>
        <w:trPr>
          <w:tblHeader w:val="true"/>
        </w:trPr>
        <w:tc>
          <w:tcPr>
            <w:tcW w:type="dxa" w:w="2381"/>
            <w:shd w:val="clear" w:fill="F3EFE8"/>
            <w:tcMar>
              <w:top w:w="60" w:type="dxa"/>
              <w:bottom w:w="60" w:type="dxa"/>
              <w:left w:w="100" w:type="dxa"/>
              <w:right w:w="100" w:type="dxa"/>
            </w:tcMar>
          </w:tcPr>
          <w:p>
            <w:pPr>
              <w:pStyle w:val="Compact"/>
              <w:jc w:val="left"/>
            </w:pPr>
            <w:r>
              <w:rPr>
                <w:b/>
                <w:sz w:val="19"/>
              </w:rPr>
              <w:t xml:space="preserve">Término</w:t>
            </w:r>
          </w:p>
        </w:tc>
        <w:tc>
          <w:tcPr>
            <w:tcW w:type="dxa" w:w="7257"/>
            <w:shd w:val="clear" w:fill="F3EFE8"/>
            <w:tcMar>
              <w:top w:w="60" w:type="dxa"/>
              <w:bottom w:w="60" w:type="dxa"/>
              <w:left w:w="100" w:type="dxa"/>
              <w:right w:w="100" w:type="dxa"/>
            </w:tcMar>
          </w:tcPr>
          <w:p>
            <w:pPr>
              <w:pStyle w:val="Compact"/>
              <w:jc w:val="left"/>
            </w:pPr>
            <w:r>
              <w:rPr>
                <w:b/>
                <w:sz w:val="19"/>
              </w:rPr>
              <w:t xml:space="preserve">Definición</w:t>
            </w:r>
          </w:p>
        </w:tc>
      </w:tr>
      <w:tr>
        <w:tc>
          <w:tcPr>
            <w:tcW w:type="dxa" w:w="2381"/>
            <w:tcMar>
              <w:top w:w="60" w:type="dxa"/>
              <w:bottom w:w="60" w:type="dxa"/>
              <w:left w:w="100" w:type="dxa"/>
              <w:right w:w="100" w:type="dxa"/>
            </w:tcMar>
          </w:tcPr>
          <w:p>
            <w:pPr>
              <w:pStyle w:val="Compact"/>
              <w:jc w:val="left"/>
            </w:pPr>
            <w:r>
              <w:rPr>
                <w:bCs/>
                <w:b/>
                <w:sz w:val="19"/>
              </w:rPr>
              <w:t xml:space="preserve">Bloque (+)</w:t>
            </w:r>
          </w:p>
        </w:tc>
        <w:tc>
          <w:tcPr>
            <w:tcW w:type="dxa" w:w="7257"/>
            <w:tcMar>
              <w:top w:w="60" w:type="dxa"/>
              <w:bottom w:w="60" w:type="dxa"/>
              <w:left w:w="100" w:type="dxa"/>
              <w:right w:w="100" w:type="dxa"/>
            </w:tcMar>
          </w:tcPr>
          <w:p>
            <w:pPr>
              <w:pStyle w:val="Compact"/>
              <w:jc w:val="left"/>
            </w:pPr>
            <w:r>
              <w:rPr>
                <w:sz w:val="19"/>
              </w:rPr>
              <w:t xml:space="preserve">Unidad mínima de contenido o diseño del editor: un párrafo, una imagen, un botón, una columna, cada uno con sus opciones y su marcado.</w:t>
            </w:r>
          </w:p>
        </w:tc>
      </w:tr>
      <w:tr>
        <w:tc>
          <w:tcPr>
            <w:tcW w:type="dxa" w:w="2381"/>
            <w:tcMar>
              <w:top w:w="60" w:type="dxa"/>
              <w:bottom w:w="60" w:type="dxa"/>
              <w:left w:w="100" w:type="dxa"/>
              <w:right w:w="100" w:type="dxa"/>
            </w:tcMar>
          </w:tcPr>
          <w:p>
            <w:pPr>
              <w:pStyle w:val="Compact"/>
              <w:jc w:val="left"/>
            </w:pPr>
            <w:r>
              <w:rPr>
                <w:bCs/>
                <w:b/>
                <w:sz w:val="19"/>
              </w:rPr>
              <w:t xml:space="preserve">Bloques del Core</w:t>
            </w:r>
          </w:p>
        </w:tc>
        <w:tc>
          <w:tcPr>
            <w:tcW w:type="dxa" w:w="7257"/>
            <w:tcMar>
              <w:top w:w="60" w:type="dxa"/>
              <w:bottom w:w="60" w:type="dxa"/>
              <w:left w:w="100" w:type="dxa"/>
              <w:right w:w="100" w:type="dxa"/>
            </w:tcMar>
          </w:tcPr>
          <w:p>
            <w:pPr>
              <w:pStyle w:val="Compact"/>
              <w:jc w:val="left"/>
            </w:pPr>
            <w:r>
              <w:rPr>
                <w:sz w:val="19"/>
              </w:rPr>
              <w:t xml:space="preserve">Bloques nativos incluidos por defecto (párrafo, imagen, columnas, grupo, bucle de consulta...). Son la materia prima: siempre se agotan antes de programar uno propio.</w:t>
            </w:r>
          </w:p>
        </w:tc>
      </w:tr>
      <w:tr>
        <w:tc>
          <w:tcPr>
            <w:tcW w:type="dxa" w:w="2381"/>
            <w:tcMar>
              <w:top w:w="60" w:type="dxa"/>
              <w:bottom w:w="60" w:type="dxa"/>
              <w:left w:w="100" w:type="dxa"/>
              <w:right w:w="100" w:type="dxa"/>
            </w:tcMar>
          </w:tcPr>
          <w:p>
            <w:pPr>
              <w:pStyle w:val="Compact"/>
              <w:jc w:val="left"/>
            </w:pPr>
            <w:r>
              <w:rPr>
                <w:bCs/>
                <w:b/>
                <w:sz w:val="19"/>
              </w:rPr>
              <w:t xml:space="preserve">Patrón de bloques (Block Pattern)</w:t>
            </w:r>
          </w:p>
        </w:tc>
        <w:tc>
          <w:tcPr>
            <w:tcW w:type="dxa" w:w="7257"/>
            <w:tcMar>
              <w:top w:w="60" w:type="dxa"/>
              <w:bottom w:w="60" w:type="dxa"/>
              <w:left w:w="100" w:type="dxa"/>
              <w:right w:w="100" w:type="dxa"/>
            </w:tcMar>
          </w:tcPr>
          <w:p>
            <w:pPr>
              <w:pStyle w:val="Compact"/>
              <w:jc w:val="left"/>
            </w:pPr>
            <w:r>
              <w:rPr>
                <w:sz w:val="19"/>
              </w:rPr>
              <w:t xml:space="preserve">Agrupación de bloques nativos ya diseñados para una función concreta (hero, testimonios, tarjeta). Alternativa ligera y mantenible a los constructores visuales de terceros.</w:t>
            </w:r>
          </w:p>
        </w:tc>
      </w:tr>
      <w:tr>
        <w:tc>
          <w:tcPr>
            <w:tcW w:type="dxa" w:w="2381"/>
            <w:tcMar>
              <w:top w:w="60" w:type="dxa"/>
              <w:bottom w:w="60" w:type="dxa"/>
              <w:left w:w="100" w:type="dxa"/>
              <w:right w:w="100" w:type="dxa"/>
            </w:tcMar>
          </w:tcPr>
          <w:p>
            <w:pPr>
              <w:pStyle w:val="Compact"/>
              <w:jc w:val="left"/>
            </w:pPr>
            <w:r>
              <w:rPr>
                <w:bCs/>
                <w:b/>
                <w:sz w:val="19"/>
              </w:rPr>
              <w:t xml:space="preserve">JSON</w:t>
            </w:r>
          </w:p>
        </w:tc>
        <w:tc>
          <w:tcPr>
            <w:tcW w:type="dxa" w:w="7257"/>
            <w:tcMar>
              <w:top w:w="60" w:type="dxa"/>
              <w:bottom w:w="60" w:type="dxa"/>
              <w:left w:w="100" w:type="dxa"/>
              <w:right w:w="100" w:type="dxa"/>
            </w:tcMar>
          </w:tcPr>
          <w:p>
            <w:pPr>
              <w:pStyle w:val="Compact"/>
              <w:jc w:val="left"/>
            </w:pPr>
            <w:r>
              <w:rPr>
                <w:sz w:val="19"/>
              </w:rPr>
              <w:t xml:space="preserve">Formato ligero de intercambio de datos. En el WordPress moderno sustituye a PHP como estándar para configurar temas (</w:t>
            </w:r>
            <w:r>
              <w:rPr>
                <w:rStyle w:val="VerbatimChar"/>
                <w:sz w:val="19"/>
              </w:rPr>
              <w:t xml:space="preserve">theme.json</w:t>
            </w:r>
            <w:r>
              <w:rPr>
                <w:sz w:val="19"/>
              </w:rPr>
              <w:t xml:space="preserve">) y bloques (</w:t>
            </w:r>
            <w:r>
              <w:rPr>
                <w:rStyle w:val="VerbatimChar"/>
                <w:sz w:val="19"/>
              </w:rPr>
              <w:t xml:space="preserve">block.json</w:t>
            </w:r>
            <w:r>
              <w:rPr>
                <w:sz w:val="19"/>
              </w:rPr>
              <w:t xml:space="preserve">).</w:t>
            </w:r>
          </w:p>
        </w:tc>
      </w:tr>
      <w:tr>
        <w:tc>
          <w:tcPr>
            <w:tcW w:type="dxa" w:w="2381"/>
            <w:tcMar>
              <w:top w:w="60" w:type="dxa"/>
              <w:bottom w:w="60" w:type="dxa"/>
              <w:left w:w="100" w:type="dxa"/>
              <w:right w:w="100" w:type="dxa"/>
            </w:tcMar>
          </w:tcPr>
          <w:p>
            <w:pPr>
              <w:pStyle w:val="Compact"/>
              <w:jc w:val="left"/>
            </w:pPr>
            <w:r>
              <w:rPr>
                <w:rStyle w:val="VerbatimChar"/>
                <w:bCs/>
                <w:b/>
                <w:sz w:val="19"/>
              </w:rPr>
              <w:t xml:space="preserve">theme.json</w:t>
            </w:r>
          </w:p>
        </w:tc>
        <w:tc>
          <w:tcPr>
            <w:tcW w:type="dxa" w:w="7257"/>
            <w:tcMar>
              <w:top w:w="60" w:type="dxa"/>
              <w:bottom w:w="60" w:type="dxa"/>
              <w:left w:w="100" w:type="dxa"/>
              <w:right w:w="100" w:type="dxa"/>
            </w:tcMar>
          </w:tcPr>
          <w:p>
            <w:pPr>
              <w:pStyle w:val="Compact"/>
              <w:jc w:val="left"/>
            </w:pPr>
            <w:r>
              <w:rPr>
                <w:sz w:val="19"/>
              </w:rPr>
              <w:t xml:space="preserve">Centro de mandos de un tema de bloques: paleta, tipografía, espaciado, estilos de bloque y qué controles ve el usuario. Genera variables CSS automáticamente. Versión de esquema actual: 3.</w:t>
            </w:r>
          </w:p>
        </w:tc>
      </w:tr>
      <w:tr>
        <w:tc>
          <w:tcPr>
            <w:tcW w:type="dxa" w:w="2381"/>
            <w:tcMar>
              <w:top w:w="60" w:type="dxa"/>
              <w:bottom w:w="60" w:type="dxa"/>
              <w:left w:w="100" w:type="dxa"/>
              <w:right w:w="100" w:type="dxa"/>
            </w:tcMar>
          </w:tcPr>
          <w:p>
            <w:pPr>
              <w:pStyle w:val="Compact"/>
              <w:jc w:val="left"/>
            </w:pPr>
            <w:r>
              <w:rPr>
                <w:bCs/>
                <w:b/>
                <w:sz w:val="19"/>
              </w:rPr>
              <w:t xml:space="preserve">Token de estilo / Global Styles (+)</w:t>
            </w:r>
          </w:p>
        </w:tc>
        <w:tc>
          <w:tcPr>
            <w:tcW w:type="dxa" w:w="7257"/>
            <w:tcMar>
              <w:top w:w="60" w:type="dxa"/>
              <w:bottom w:w="60" w:type="dxa"/>
              <w:left w:w="100" w:type="dxa"/>
              <w:right w:w="100" w:type="dxa"/>
            </w:tcMar>
          </w:tcPr>
          <w:p>
            <w:pPr>
              <w:pStyle w:val="Compact"/>
              <w:jc w:val="left"/>
            </w:pPr>
            <w:r>
              <w:rPr>
                <w:sz w:val="19"/>
              </w:rPr>
              <w:t xml:space="preserve">Valor de diseño con nombre (un color, una escala tipográfica, un espaciado) declarado una vez en</w:t>
            </w:r>
            <w:r>
              <w:rPr>
                <w:sz w:val="19"/>
              </w:rPr>
              <w:t xml:space="preserve"> </w:t>
            </w:r>
            <w:r>
              <w:rPr>
                <w:rStyle w:val="VerbatimChar"/>
                <w:sz w:val="19"/>
              </w:rPr>
              <w:t xml:space="preserve">theme.json</w:t>
            </w:r>
            <w:r>
              <w:rPr>
                <w:sz w:val="19"/>
              </w:rPr>
              <w:t xml:space="preserve"> </w:t>
            </w:r>
            <w:r>
              <w:rPr>
                <w:sz w:val="19"/>
              </w:rPr>
              <w:t xml:space="preserve">y reutilizado en todo el sitio.</w:t>
            </w:r>
          </w:p>
        </w:tc>
      </w:tr>
      <w:tr>
        <w:tc>
          <w:tcPr>
            <w:tcW w:type="dxa" w:w="2381"/>
            <w:tcMar>
              <w:top w:w="60" w:type="dxa"/>
              <w:bottom w:w="60" w:type="dxa"/>
              <w:left w:w="100" w:type="dxa"/>
              <w:right w:w="100" w:type="dxa"/>
            </w:tcMar>
          </w:tcPr>
          <w:p>
            <w:pPr>
              <w:pStyle w:val="Compact"/>
              <w:jc w:val="left"/>
            </w:pPr>
            <w:r>
              <w:rPr>
                <w:bCs/>
                <w:b/>
                <w:sz w:val="19"/>
              </w:rPr>
              <w:t xml:space="preserve">CSS</w:t>
            </w:r>
          </w:p>
        </w:tc>
        <w:tc>
          <w:tcPr>
            <w:tcW w:type="dxa" w:w="7257"/>
            <w:tcMar>
              <w:top w:w="60" w:type="dxa"/>
              <w:bottom w:w="60" w:type="dxa"/>
              <w:left w:w="100" w:type="dxa"/>
              <w:right w:w="100" w:type="dxa"/>
            </w:tcMar>
          </w:tcPr>
          <w:p>
            <w:pPr>
              <w:pStyle w:val="Compact"/>
              <w:jc w:val="left"/>
            </w:pPr>
            <w:r>
              <w:rPr>
                <w:sz w:val="19"/>
              </w:rPr>
              <w:t xml:space="preserve">Lenguaje de estilos clásico. En el enfoque moderno se subordina a</w:t>
            </w:r>
            <w:r>
              <w:rPr>
                <w:sz w:val="19"/>
              </w:rPr>
              <w:t xml:space="preserve"> </w:t>
            </w:r>
            <w:r>
              <w:rPr>
                <w:rStyle w:val="VerbatimChar"/>
                <w:sz w:val="19"/>
              </w:rPr>
              <w:t xml:space="preserve">theme.json</w:t>
            </w:r>
            <w:r>
              <w:rPr>
                <w:sz w:val="19"/>
              </w:rPr>
              <w:t xml:space="preserve"> </w:t>
            </w:r>
            <w:r>
              <w:rPr>
                <w:sz w:val="19"/>
              </w:rPr>
              <w:t xml:space="preserve">y se limita a lo que lo nativo no cubre, de forma localizada y justificada.</w:t>
            </w:r>
          </w:p>
        </w:tc>
      </w:tr>
      <w:tr>
        <w:tc>
          <w:tcPr>
            <w:tcW w:type="dxa" w:w="2381"/>
            <w:tcMar>
              <w:top w:w="60" w:type="dxa"/>
              <w:bottom w:w="60" w:type="dxa"/>
              <w:left w:w="100" w:type="dxa"/>
              <w:right w:w="100" w:type="dxa"/>
            </w:tcMar>
          </w:tcPr>
          <w:p>
            <w:pPr>
              <w:pStyle w:val="Compact"/>
              <w:jc w:val="left"/>
            </w:pPr>
            <w:r>
              <w:rPr>
                <w:bCs/>
                <w:b/>
                <w:sz w:val="19"/>
              </w:rPr>
              <w:t xml:space="preserve">Maqueta (+)</w:t>
            </w:r>
          </w:p>
        </w:tc>
        <w:tc>
          <w:tcPr>
            <w:tcW w:type="dxa" w:w="7257"/>
            <w:tcMar>
              <w:top w:w="60" w:type="dxa"/>
              <w:bottom w:w="60" w:type="dxa"/>
              <w:left w:w="100" w:type="dxa"/>
              <w:right w:w="100" w:type="dxa"/>
            </w:tcMar>
          </w:tcPr>
          <w:p>
            <w:pPr>
              <w:pStyle w:val="Compact"/>
              <w:jc w:val="left"/>
            </w:pPr>
            <w:r>
              <w:rPr>
                <w:sz w:val="19"/>
              </w:rPr>
              <w:t xml:space="preserve">Diseño completo de una página o sitio en HTML, CSS y JavaScript, producido por una persona, un agente o una herramienta especializada, independiente de WordPress. Es la entrada de la conversión a un sitio de bloques y un punto de control de diseño.</w:t>
            </w:r>
          </w:p>
        </w:tc>
      </w:tr>
      <w:tr>
        <w:tc>
          <w:tcPr>
            <w:tcW w:type="dxa" w:w="2381"/>
            <w:tcMar>
              <w:top w:w="60" w:type="dxa"/>
              <w:bottom w:w="60" w:type="dxa"/>
              <w:left w:w="100" w:type="dxa"/>
              <w:right w:w="100" w:type="dxa"/>
            </w:tcMar>
          </w:tcPr>
          <w:p>
            <w:pPr>
              <w:pStyle w:val="Compact"/>
              <w:jc w:val="left"/>
            </w:pPr>
            <w:r>
              <w:rPr>
                <w:bCs/>
                <w:b/>
                <w:sz w:val="19"/>
              </w:rPr>
              <w:t xml:space="preserve">Sistema de diseño (+)</w:t>
            </w:r>
          </w:p>
        </w:tc>
        <w:tc>
          <w:tcPr>
            <w:tcW w:type="dxa" w:w="7257"/>
            <w:tcMar>
              <w:top w:w="60" w:type="dxa"/>
              <w:bottom w:w="60" w:type="dxa"/>
              <w:left w:w="100" w:type="dxa"/>
              <w:right w:w="100" w:type="dxa"/>
            </w:tcMar>
          </w:tcPr>
          <w:p>
            <w:pPr>
              <w:pStyle w:val="Compact"/>
              <w:jc w:val="left"/>
            </w:pPr>
            <w:r>
              <w:rPr>
                <w:sz w:val="19"/>
              </w:rPr>
              <w:t xml:space="preserve">Conjunto coherente de tokens, patrones y plantillas que permite crear nuevas páginas sin rehacer el diseño.</w:t>
            </w:r>
          </w:p>
        </w:tc>
      </w:tr>
      <w:tr>
        <w:tc>
          <w:tcPr>
            <w:tcW w:type="dxa" w:w="2381"/>
            <w:tcMar>
              <w:top w:w="60" w:type="dxa"/>
              <w:bottom w:w="60" w:type="dxa"/>
              <w:left w:w="100" w:type="dxa"/>
              <w:right w:w="100" w:type="dxa"/>
            </w:tcMar>
          </w:tcPr>
          <w:p>
            <w:pPr>
              <w:pStyle w:val="Compact"/>
              <w:jc w:val="left"/>
            </w:pPr>
            <w:r>
              <w:rPr>
                <w:rStyle w:val="VerbatimChar"/>
                <w:bCs/>
                <w:b/>
                <w:sz w:val="19"/>
              </w:rPr>
              <w:t xml:space="preserve">block.json</w:t>
            </w:r>
          </w:p>
        </w:tc>
        <w:tc>
          <w:tcPr>
            <w:tcW w:type="dxa" w:w="7257"/>
            <w:tcMar>
              <w:top w:w="60" w:type="dxa"/>
              <w:bottom w:w="60" w:type="dxa"/>
              <w:left w:w="100" w:type="dxa"/>
              <w:right w:w="100" w:type="dxa"/>
            </w:tcMar>
          </w:tcPr>
          <w:p>
            <w:pPr>
              <w:pStyle w:val="Compact"/>
              <w:jc w:val="left"/>
            </w:pPr>
            <w:r>
              <w:rPr>
                <w:sz w:val="19"/>
              </w:rPr>
              <w:t xml:space="preserve">Documento de identidad de un bloque personalizado: nombre, categoría, atributos, soportes, scripts y estilos. Estandariza su registro tanto para WordPress como para quien analiza el código. API de bloques actual: versión 3.</w:t>
            </w:r>
          </w:p>
        </w:tc>
      </w:tr>
    </w:tbl>
    <w:bookmarkEnd w:id="33"/>
    <w:bookmarkStart w:id="34" w:name="nivel-3--lógica-datos-e-interactividad"/>
    <w:p>
      <w:pPr>
        <w:pStyle w:val="Heading3"/>
      </w:pPr>
      <w:r>
        <w:t xml:space="preserve">Nivel 3 — Lógica, datos e interactividad</w:t>
      </w:r>
    </w:p>
    <w:tbl>
      <w:tblPr>
        <w:tblStyle w:val="Table"/>
        <w:tblLook w:firstRow="1" w:lastRow="0" w:firstColumn="0" w:lastColumn="0" w:noHBand="0" w:noVBand="0" w:val="0020"/>
        <w:jc w:val="start"/>
        <w:tblBorders>
          <w:top w:val="single" w:sz="4" w:color="D9D2C3"/>
          <w:left w:val="single" w:sz="4" w:color="D9D2C3"/>
          <w:bottom w:val="single" w:sz="4" w:color="D9D2C3"/>
          <w:right w:val="single" w:sz="4" w:color="D9D2C3"/>
          <w:insideH w:val="single" w:sz="4" w:color="D9D2C3"/>
          <w:insideV w:val="single" w:sz="4" w:color="D9D2C3"/>
        </w:tblBorders>
        <w:tblW w:w="5000" w:type="pct"/>
        <w:tblLayout w:type="fixed"/>
      </w:tblPr>
      <w:tblGrid>
        <w:gridCol w:w="2381"/>
        <w:gridCol w:w="7256"/>
      </w:tblGrid>
      <w:tr>
        <w:trPr>
          <w:tblHeader w:val="true"/>
        </w:trPr>
        <w:tc>
          <w:tcPr>
            <w:tcW w:type="dxa" w:w="2381"/>
            <w:shd w:val="clear" w:fill="F3EFE8"/>
            <w:tcMar>
              <w:top w:w="60" w:type="dxa"/>
              <w:bottom w:w="60" w:type="dxa"/>
              <w:left w:w="100" w:type="dxa"/>
              <w:right w:w="100" w:type="dxa"/>
            </w:tcMar>
          </w:tcPr>
          <w:p>
            <w:pPr>
              <w:pStyle w:val="Compact"/>
              <w:jc w:val="left"/>
            </w:pPr>
            <w:r>
              <w:rPr>
                <w:b/>
                <w:sz w:val="19"/>
              </w:rPr>
              <w:t xml:space="preserve">Término</w:t>
            </w:r>
          </w:p>
        </w:tc>
        <w:tc>
          <w:tcPr>
            <w:tcW w:type="dxa" w:w="7257"/>
            <w:shd w:val="clear" w:fill="F3EFE8"/>
            <w:tcMar>
              <w:top w:w="60" w:type="dxa"/>
              <w:bottom w:w="60" w:type="dxa"/>
              <w:left w:w="100" w:type="dxa"/>
              <w:right w:w="100" w:type="dxa"/>
            </w:tcMar>
          </w:tcPr>
          <w:p>
            <w:pPr>
              <w:pStyle w:val="Compact"/>
              <w:jc w:val="left"/>
            </w:pPr>
            <w:r>
              <w:rPr>
                <w:b/>
                <w:sz w:val="19"/>
              </w:rPr>
              <w:t xml:space="preserve">Definición</w:t>
            </w:r>
          </w:p>
        </w:tc>
      </w:tr>
      <w:tr>
        <w:tc>
          <w:tcPr>
            <w:tcW w:type="dxa" w:w="2381"/>
            <w:tcMar>
              <w:top w:w="60" w:type="dxa"/>
              <w:bottom w:w="60" w:type="dxa"/>
              <w:left w:w="100" w:type="dxa"/>
              <w:right w:w="100" w:type="dxa"/>
            </w:tcMar>
          </w:tcPr>
          <w:p>
            <w:pPr>
              <w:pStyle w:val="Compact"/>
              <w:jc w:val="left"/>
            </w:pPr>
            <w:r>
              <w:rPr>
                <w:bCs/>
                <w:b/>
                <w:sz w:val="19"/>
              </w:rPr>
              <w:t xml:space="preserve">APIs nativas</w:t>
            </w:r>
          </w:p>
        </w:tc>
        <w:tc>
          <w:tcPr>
            <w:tcW w:type="dxa" w:w="7257"/>
            <w:tcMar>
              <w:top w:w="60" w:type="dxa"/>
              <w:bottom w:w="60" w:type="dxa"/>
              <w:left w:w="100" w:type="dxa"/>
              <w:right w:w="100" w:type="dxa"/>
            </w:tcMar>
          </w:tcPr>
          <w:p>
            <w:pPr>
              <w:pStyle w:val="Compact"/>
              <w:jc w:val="left"/>
            </w:pPr>
            <w:r>
              <w:rPr>
                <w:sz w:val="19"/>
              </w:rPr>
              <w:t xml:space="preserve">Herramientas integradas en el Core (REST API, Settings API, Rewrite API, Abilities API...) para interactuar con el sitio de forma segura y estandarizada.</w:t>
            </w:r>
          </w:p>
        </w:tc>
      </w:tr>
      <w:tr>
        <w:tc>
          <w:tcPr>
            <w:tcW w:type="dxa" w:w="2381"/>
            <w:tcMar>
              <w:top w:w="60" w:type="dxa"/>
              <w:bottom w:w="60" w:type="dxa"/>
              <w:left w:w="100" w:type="dxa"/>
              <w:right w:w="100" w:type="dxa"/>
            </w:tcMar>
          </w:tcPr>
          <w:p>
            <w:pPr>
              <w:pStyle w:val="Compact"/>
              <w:jc w:val="left"/>
            </w:pPr>
            <w:r>
              <w:rPr>
                <w:bCs/>
                <w:b/>
                <w:sz w:val="19"/>
              </w:rPr>
              <w:t xml:space="preserve">Funciones nativas</w:t>
            </w:r>
          </w:p>
        </w:tc>
        <w:tc>
          <w:tcPr>
            <w:tcW w:type="dxa" w:w="7257"/>
            <w:tcMar>
              <w:top w:w="60" w:type="dxa"/>
              <w:bottom w:w="60" w:type="dxa"/>
              <w:left w:w="100" w:type="dxa"/>
              <w:right w:w="100" w:type="dxa"/>
            </w:tcMar>
          </w:tcPr>
          <w:p>
            <w:pPr>
              <w:pStyle w:val="Compact"/>
              <w:jc w:val="left"/>
            </w:pPr>
            <w:r>
              <w:rPr>
                <w:sz w:val="19"/>
              </w:rPr>
              <w:t xml:space="preserve">Funciones PHP de WordPress (</w:t>
            </w:r>
            <w:r>
              <w:rPr>
                <w:rStyle w:val="VerbatimChar"/>
                <w:sz w:val="19"/>
              </w:rPr>
              <w:t xml:space="preserve">WP_Query</w:t>
            </w:r>
            <w:r>
              <w:rPr>
                <w:sz w:val="19"/>
              </w:rPr>
              <w:t xml:space="preserve">,</w:t>
            </w:r>
            <w:r>
              <w:rPr>
                <w:sz w:val="19"/>
              </w:rPr>
              <w:t xml:space="preserve"> </w:t>
            </w:r>
            <w:r>
              <w:rPr>
                <w:rStyle w:val="VerbatimChar"/>
                <w:sz w:val="19"/>
              </w:rPr>
              <w:t xml:space="preserve">get_post_meta</w:t>
            </w:r>
            <w:r>
              <w:rPr>
                <w:sz w:val="19"/>
              </w:rPr>
              <w:t xml:space="preserve">,</w:t>
            </w:r>
            <w:r>
              <w:rPr>
                <w:sz w:val="19"/>
              </w:rPr>
              <w:t xml:space="preserve"> </w:t>
            </w:r>
            <w:r>
              <w:rPr>
                <w:rStyle w:val="VerbatimChar"/>
                <w:sz w:val="19"/>
              </w:rPr>
              <w:t xml:space="preserve">get_posts</w:t>
            </w:r>
            <w:r>
              <w:rPr>
                <w:sz w:val="19"/>
              </w:rPr>
              <w:t xml:space="preserve">...). Puente autorizado hacia los datos; se prefiere siempre al SQL directo (</w:t>
            </w:r>
            <w:r>
              <w:rPr>
                <w:rStyle w:val="VerbatimChar"/>
                <w:sz w:val="19"/>
              </w:rPr>
              <w:t xml:space="preserve">$wpdb</w:t>
            </w:r>
            <w:r>
              <w:rPr>
                <w:sz w:val="19"/>
              </w:rPr>
              <w:t xml:space="preserve">).</w:t>
            </w:r>
          </w:p>
        </w:tc>
      </w:tr>
      <w:tr>
        <w:tc>
          <w:tcPr>
            <w:tcW w:type="dxa" w:w="2381"/>
            <w:tcMar>
              <w:top w:w="60" w:type="dxa"/>
              <w:bottom w:w="60" w:type="dxa"/>
              <w:left w:w="100" w:type="dxa"/>
              <w:right w:w="100" w:type="dxa"/>
            </w:tcMar>
          </w:tcPr>
          <w:p>
            <w:pPr>
              <w:pStyle w:val="Compact"/>
              <w:jc w:val="left"/>
            </w:pPr>
            <w:r>
              <w:rPr>
                <w:bCs/>
                <w:b/>
                <w:sz w:val="19"/>
              </w:rPr>
              <w:t xml:space="preserve">REST API</w:t>
            </w:r>
          </w:p>
        </w:tc>
        <w:tc>
          <w:tcPr>
            <w:tcW w:type="dxa" w:w="7257"/>
            <w:tcMar>
              <w:top w:w="60" w:type="dxa"/>
              <w:bottom w:w="60" w:type="dxa"/>
              <w:left w:w="100" w:type="dxa"/>
              <w:right w:w="100" w:type="dxa"/>
            </w:tcMar>
          </w:tcPr>
          <w:p>
            <w:pPr>
              <w:pStyle w:val="Compact"/>
              <w:jc w:val="left"/>
            </w:pPr>
            <w:r>
              <w:rPr>
                <w:sz w:val="19"/>
              </w:rPr>
              <w:t xml:space="preserve">Interfaz estándar para leer y modificar datos del sitio por HTTP; base de las arquitecturas headless y de muchas integraciones.</w:t>
            </w:r>
          </w:p>
        </w:tc>
      </w:tr>
      <w:tr>
        <w:tc>
          <w:tcPr>
            <w:tcW w:type="dxa" w:w="2381"/>
            <w:tcMar>
              <w:top w:w="60" w:type="dxa"/>
              <w:bottom w:w="60" w:type="dxa"/>
              <w:left w:w="100" w:type="dxa"/>
              <w:right w:w="100" w:type="dxa"/>
            </w:tcMar>
          </w:tcPr>
          <w:p>
            <w:pPr>
              <w:pStyle w:val="Compact"/>
              <w:jc w:val="left"/>
            </w:pPr>
            <w:r>
              <w:rPr>
                <w:bCs/>
                <w:b/>
                <w:sz w:val="19"/>
              </w:rPr>
              <w:t xml:space="preserve">Interactivity API</w:t>
            </w:r>
          </w:p>
        </w:tc>
        <w:tc>
          <w:tcPr>
            <w:tcW w:type="dxa" w:w="7257"/>
            <w:tcMar>
              <w:top w:w="60" w:type="dxa"/>
              <w:bottom w:w="60" w:type="dxa"/>
              <w:left w:w="100" w:type="dxa"/>
              <w:right w:w="100" w:type="dxa"/>
            </w:tcMar>
          </w:tcPr>
          <w:p>
            <w:pPr>
              <w:pStyle w:val="Compact"/>
              <w:jc w:val="left"/>
            </w:pPr>
            <w:r>
              <w:rPr>
                <w:sz w:val="19"/>
              </w:rPr>
              <w:t xml:space="preserve">Estándar oficial para interacción en el frontend con un modelo declarativo y reactivo (directivas</w:t>
            </w:r>
            <w:r>
              <w:rPr>
                <w:sz w:val="19"/>
              </w:rPr>
              <w:t xml:space="preserve"> </w:t>
            </w:r>
            <w:r>
              <w:rPr>
                <w:rStyle w:val="VerbatimChar"/>
                <w:sz w:val="19"/>
              </w:rPr>
              <w:t xml:space="preserve">data-wp-*</w:t>
            </w:r>
            <w:r>
              <w:rPr>
                <w:sz w:val="19"/>
              </w:rPr>
              <w:t xml:space="preserve"> </w:t>
            </w:r>
            <w:r>
              <w:rPr>
                <w:sz w:val="19"/>
              </w:rPr>
              <w:t xml:space="preserve">y un</w:t>
            </w:r>
            <w:r>
              <w:rPr>
                <w:sz w:val="19"/>
              </w:rPr>
              <w:t xml:space="preserve"> </w:t>
            </w:r>
            <w:r>
              <w:rPr>
                <w:iCs/>
                <w:i/>
                <w:sz w:val="19"/>
              </w:rPr>
              <w:t xml:space="preserve">store</w:t>
            </w:r>
            <w:r>
              <w:rPr>
                <w:sz w:val="19"/>
              </w:rPr>
              <w:t xml:space="preserve">), sin librerías pesadas.</w:t>
            </w:r>
          </w:p>
        </w:tc>
      </w:tr>
      <w:tr>
        <w:tc>
          <w:tcPr>
            <w:tcW w:type="dxa" w:w="2381"/>
            <w:tcMar>
              <w:top w:w="60" w:type="dxa"/>
              <w:bottom w:w="60" w:type="dxa"/>
              <w:left w:w="100" w:type="dxa"/>
              <w:right w:w="100" w:type="dxa"/>
            </w:tcMar>
          </w:tcPr>
          <w:p>
            <w:pPr>
              <w:pStyle w:val="Compact"/>
              <w:jc w:val="left"/>
            </w:pPr>
            <w:r>
              <w:rPr>
                <w:bCs/>
                <w:b/>
                <w:sz w:val="19"/>
              </w:rPr>
              <w:t xml:space="preserve">Block Hooks (+)</w:t>
            </w:r>
          </w:p>
        </w:tc>
        <w:tc>
          <w:tcPr>
            <w:tcW w:type="dxa" w:w="7257"/>
            <w:tcMar>
              <w:top w:w="60" w:type="dxa"/>
              <w:bottom w:w="60" w:type="dxa"/>
              <w:left w:w="100" w:type="dxa"/>
              <w:right w:w="100" w:type="dxa"/>
            </w:tcMar>
          </w:tcPr>
          <w:p>
            <w:pPr>
              <w:pStyle w:val="Compact"/>
              <w:jc w:val="left"/>
            </w:pPr>
            <w:r>
              <w:rPr>
                <w:sz w:val="19"/>
              </w:rPr>
              <w:t xml:space="preserve">Mecanismo para insertar bloques automáticamente junto a otros bloques concretos sin modificar plantillas.</w:t>
            </w:r>
          </w:p>
        </w:tc>
      </w:tr>
    </w:tbl>
    <w:bookmarkEnd w:id="34"/>
    <w:bookmarkStart w:id="35" w:name="Xd25e9bec0a794e0544c6d190bb4b106ba02306d"/>
    <w:p>
      <w:pPr>
        <w:pStyle w:val="Heading3"/>
      </w:pPr>
      <w:r>
        <w:t xml:space="preserve">Nivel 4 — Extensibilidad y arquitectura de proyecto</w:t>
      </w:r>
    </w:p>
    <w:tbl>
      <w:tblPr>
        <w:tblStyle w:val="Table"/>
        <w:tblLook w:firstRow="1" w:lastRow="0" w:firstColumn="0" w:lastColumn="0" w:noHBand="0" w:noVBand="0" w:val="0020"/>
        <w:jc w:val="start"/>
        <w:tblBorders>
          <w:top w:val="single" w:sz="4" w:color="D9D2C3"/>
          <w:left w:val="single" w:sz="4" w:color="D9D2C3"/>
          <w:bottom w:val="single" w:sz="4" w:color="D9D2C3"/>
          <w:right w:val="single" w:sz="4" w:color="D9D2C3"/>
          <w:insideH w:val="single" w:sz="4" w:color="D9D2C3"/>
          <w:insideV w:val="single" w:sz="4" w:color="D9D2C3"/>
        </w:tblBorders>
        <w:tblW w:w="5000" w:type="pct"/>
        <w:tblLayout w:type="fixed"/>
      </w:tblPr>
      <w:tblGrid>
        <w:gridCol w:w="2381"/>
        <w:gridCol w:w="7256"/>
      </w:tblGrid>
      <w:tr>
        <w:trPr>
          <w:tblHeader w:val="true"/>
        </w:trPr>
        <w:tc>
          <w:tcPr>
            <w:tcW w:type="dxa" w:w="2381"/>
            <w:shd w:val="clear" w:fill="F3EFE8"/>
            <w:tcMar>
              <w:top w:w="60" w:type="dxa"/>
              <w:bottom w:w="60" w:type="dxa"/>
              <w:left w:w="100" w:type="dxa"/>
              <w:right w:w="100" w:type="dxa"/>
            </w:tcMar>
          </w:tcPr>
          <w:p>
            <w:pPr>
              <w:pStyle w:val="Compact"/>
              <w:jc w:val="left"/>
            </w:pPr>
            <w:r>
              <w:rPr>
                <w:b/>
                <w:sz w:val="19"/>
              </w:rPr>
              <w:t xml:space="preserve">Término</w:t>
            </w:r>
          </w:p>
        </w:tc>
        <w:tc>
          <w:tcPr>
            <w:tcW w:type="dxa" w:w="7257"/>
            <w:shd w:val="clear" w:fill="F3EFE8"/>
            <w:tcMar>
              <w:top w:w="60" w:type="dxa"/>
              <w:bottom w:w="60" w:type="dxa"/>
              <w:left w:w="100" w:type="dxa"/>
              <w:right w:w="100" w:type="dxa"/>
            </w:tcMar>
          </w:tcPr>
          <w:p>
            <w:pPr>
              <w:pStyle w:val="Compact"/>
              <w:jc w:val="left"/>
            </w:pPr>
            <w:r>
              <w:rPr>
                <w:b/>
                <w:sz w:val="19"/>
              </w:rPr>
              <w:t xml:space="preserve">Definición</w:t>
            </w:r>
          </w:p>
        </w:tc>
      </w:tr>
      <w:tr>
        <w:tc>
          <w:tcPr>
            <w:tcW w:type="dxa" w:w="2381"/>
            <w:tcMar>
              <w:top w:w="60" w:type="dxa"/>
              <w:bottom w:w="60" w:type="dxa"/>
              <w:left w:w="100" w:type="dxa"/>
              <w:right w:w="100" w:type="dxa"/>
            </w:tcMar>
          </w:tcPr>
          <w:p>
            <w:pPr>
              <w:pStyle w:val="Compact"/>
              <w:jc w:val="left"/>
            </w:pPr>
            <w:r>
              <w:rPr>
                <w:bCs/>
                <w:b/>
                <w:sz w:val="19"/>
              </w:rPr>
              <w:t xml:space="preserve">Plugin</w:t>
            </w:r>
          </w:p>
        </w:tc>
        <w:tc>
          <w:tcPr>
            <w:tcW w:type="dxa" w:w="7257"/>
            <w:tcMar>
              <w:top w:w="60" w:type="dxa"/>
              <w:bottom w:w="60" w:type="dxa"/>
              <w:left w:w="100" w:type="dxa"/>
              <w:right w:w="100" w:type="dxa"/>
            </w:tcMar>
          </w:tcPr>
          <w:p>
            <w:pPr>
              <w:pStyle w:val="Compact"/>
              <w:jc w:val="left"/>
            </w:pPr>
            <w:r>
              <w:rPr>
                <w:sz w:val="19"/>
              </w:rPr>
              <w:t xml:space="preserve">Paquete de código que añade funcionalidad al Core. Se reserva para lógica de negocio (tipos de contenido, integraciones), separada del diseño, que pertenece al tema.</w:t>
            </w:r>
          </w:p>
        </w:tc>
      </w:tr>
      <w:tr>
        <w:tc>
          <w:tcPr>
            <w:tcW w:type="dxa" w:w="2381"/>
            <w:tcMar>
              <w:top w:w="60" w:type="dxa"/>
              <w:bottom w:w="60" w:type="dxa"/>
              <w:left w:w="100" w:type="dxa"/>
              <w:right w:w="100" w:type="dxa"/>
            </w:tcMar>
          </w:tcPr>
          <w:p>
            <w:pPr>
              <w:pStyle w:val="Compact"/>
              <w:jc w:val="left"/>
            </w:pPr>
            <w:r>
              <w:rPr>
                <w:bCs/>
                <w:b/>
                <w:sz w:val="19"/>
              </w:rPr>
              <w:t xml:space="preserve">mu-plugin (Must-Use)</w:t>
            </w:r>
          </w:p>
        </w:tc>
        <w:tc>
          <w:tcPr>
            <w:tcW w:type="dxa" w:w="7257"/>
            <w:tcMar>
              <w:top w:w="60" w:type="dxa"/>
              <w:bottom w:w="60" w:type="dxa"/>
              <w:left w:w="100" w:type="dxa"/>
              <w:right w:w="100" w:type="dxa"/>
            </w:tcMar>
          </w:tcPr>
          <w:p>
            <w:pPr>
              <w:pStyle w:val="Compact"/>
              <w:jc w:val="left"/>
            </w:pPr>
            <w:r>
              <w:rPr>
                <w:sz w:val="19"/>
              </w:rPr>
              <w:t xml:space="preserve">Plugin de carga obligatoria en</w:t>
            </w:r>
            <w:r>
              <w:rPr>
                <w:sz w:val="19"/>
              </w:rPr>
              <w:t xml:space="preserve"> </w:t>
            </w:r>
            <w:r>
              <w:rPr>
                <w:rStyle w:val="VerbatimChar"/>
                <w:sz w:val="19"/>
              </w:rPr>
              <w:t xml:space="preserve">wp-content/mu-plugins</w:t>
            </w:r>
            <w:r>
              <w:rPr>
                <w:sz w:val="19"/>
              </w:rPr>
              <w:t xml:space="preserve">; el usuario no puede desactivarlo desde el panel. Para código crítico que no debe apagarse.</w:t>
            </w:r>
          </w:p>
        </w:tc>
      </w:tr>
      <w:tr>
        <w:tc>
          <w:tcPr>
            <w:tcW w:type="dxa" w:w="2381"/>
            <w:tcMar>
              <w:top w:w="60" w:type="dxa"/>
              <w:bottom w:w="60" w:type="dxa"/>
              <w:left w:w="100" w:type="dxa"/>
              <w:right w:w="100" w:type="dxa"/>
            </w:tcMar>
          </w:tcPr>
          <w:p>
            <w:pPr>
              <w:pStyle w:val="Compact"/>
              <w:jc w:val="left"/>
            </w:pPr>
            <w:r>
              <w:rPr>
                <w:bCs/>
                <w:b/>
                <w:sz w:val="19"/>
              </w:rPr>
              <w:t xml:space="preserve">Separación tema/plugin (+)</w:t>
            </w:r>
          </w:p>
        </w:tc>
        <w:tc>
          <w:tcPr>
            <w:tcW w:type="dxa" w:w="7257"/>
            <w:tcMar>
              <w:top w:w="60" w:type="dxa"/>
              <w:bottom w:w="60" w:type="dxa"/>
              <w:left w:w="100" w:type="dxa"/>
              <w:right w:w="100" w:type="dxa"/>
            </w:tcMar>
          </w:tcPr>
          <w:p>
            <w:pPr>
              <w:pStyle w:val="Compact"/>
              <w:jc w:val="left"/>
            </w:pPr>
            <w:r>
              <w:rPr>
                <w:sz w:val="19"/>
              </w:rPr>
              <w:t xml:space="preserve">Principio de arquitectura: presentación en el tema, funcionalidad en plugins; nunca credenciales ni lógica de negocio en el tema.</w:t>
            </w:r>
          </w:p>
        </w:tc>
      </w:tr>
      <w:tr>
        <w:tc>
          <w:tcPr>
            <w:tcW w:type="dxa" w:w="2381"/>
            <w:tcMar>
              <w:top w:w="60" w:type="dxa"/>
              <w:bottom w:w="60" w:type="dxa"/>
              <w:left w:w="100" w:type="dxa"/>
              <w:right w:w="100" w:type="dxa"/>
            </w:tcMar>
          </w:tcPr>
          <w:p>
            <w:pPr>
              <w:pStyle w:val="Compact"/>
              <w:jc w:val="left"/>
            </w:pPr>
            <w:r>
              <w:rPr>
                <w:bCs/>
                <w:b/>
                <w:sz w:val="19"/>
              </w:rPr>
              <w:t xml:space="preserve">Operación destructiva (+)</w:t>
            </w:r>
          </w:p>
        </w:tc>
        <w:tc>
          <w:tcPr>
            <w:tcW w:type="dxa" w:w="7257"/>
            <w:tcMar>
              <w:top w:w="60" w:type="dxa"/>
              <w:bottom w:w="60" w:type="dxa"/>
              <w:left w:w="100" w:type="dxa"/>
              <w:right w:w="100" w:type="dxa"/>
            </w:tcMar>
          </w:tcPr>
          <w:p>
            <w:pPr>
              <w:pStyle w:val="Compact"/>
              <w:jc w:val="left"/>
            </w:pPr>
            <w:r>
              <w:rPr>
                <w:sz w:val="19"/>
              </w:rPr>
              <w:t xml:space="preserve">Cualquier acción que borra, vacía o sustituye contenido o estructura. Exige autorización expresa, confirmación escrita y copia de seguridad declarada.</w:t>
            </w:r>
          </w:p>
        </w:tc>
      </w:tr>
    </w:tbl>
    <w:bookmarkEnd w:id="35"/>
    <w:bookmarkStart w:id="36" w:name="nivel-5--ecosistema-de-ia-y-agentes"/>
    <w:p>
      <w:pPr>
        <w:pStyle w:val="Heading3"/>
      </w:pPr>
      <w:r>
        <w:t xml:space="preserve">Nivel 5 — Ecosistema de IA y agentes</w:t>
      </w:r>
    </w:p>
    <w:tbl>
      <w:tblPr>
        <w:tblStyle w:val="Table"/>
        <w:tblLook w:firstRow="1" w:lastRow="0" w:firstColumn="0" w:lastColumn="0" w:noHBand="0" w:noVBand="0" w:val="0020"/>
        <w:jc w:val="start"/>
        <w:tblBorders>
          <w:top w:val="single" w:sz="4" w:color="D9D2C3"/>
          <w:left w:val="single" w:sz="4" w:color="D9D2C3"/>
          <w:bottom w:val="single" w:sz="4" w:color="D9D2C3"/>
          <w:right w:val="single" w:sz="4" w:color="D9D2C3"/>
          <w:insideH w:val="single" w:sz="4" w:color="D9D2C3"/>
          <w:insideV w:val="single" w:sz="4" w:color="D9D2C3"/>
        </w:tblBorders>
        <w:tblW w:w="5000" w:type="pct"/>
        <w:tblLayout w:type="fixed"/>
      </w:tblPr>
      <w:tblGrid>
        <w:gridCol w:w="2381"/>
        <w:gridCol w:w="7256"/>
      </w:tblGrid>
      <w:tr>
        <w:trPr>
          <w:tblHeader w:val="true"/>
        </w:trPr>
        <w:tc>
          <w:tcPr>
            <w:tcW w:type="dxa" w:w="2381"/>
            <w:shd w:val="clear" w:fill="F3EFE8"/>
            <w:tcMar>
              <w:top w:w="60" w:type="dxa"/>
              <w:bottom w:w="60" w:type="dxa"/>
              <w:left w:w="100" w:type="dxa"/>
              <w:right w:w="100" w:type="dxa"/>
            </w:tcMar>
          </w:tcPr>
          <w:p>
            <w:pPr>
              <w:pStyle w:val="Compact"/>
              <w:jc w:val="left"/>
            </w:pPr>
            <w:r>
              <w:rPr>
                <w:b/>
                <w:sz w:val="19"/>
              </w:rPr>
              <w:t xml:space="preserve">Término</w:t>
            </w:r>
          </w:p>
        </w:tc>
        <w:tc>
          <w:tcPr>
            <w:tcW w:type="dxa" w:w="7257"/>
            <w:shd w:val="clear" w:fill="F3EFE8"/>
            <w:tcMar>
              <w:top w:w="60" w:type="dxa"/>
              <w:bottom w:w="60" w:type="dxa"/>
              <w:left w:w="100" w:type="dxa"/>
              <w:right w:w="100" w:type="dxa"/>
            </w:tcMar>
          </w:tcPr>
          <w:p>
            <w:pPr>
              <w:pStyle w:val="Compact"/>
              <w:jc w:val="left"/>
            </w:pPr>
            <w:r>
              <w:rPr>
                <w:b/>
                <w:sz w:val="19"/>
              </w:rPr>
              <w:t xml:space="preserve">Definición</w:t>
            </w:r>
          </w:p>
        </w:tc>
      </w:tr>
      <w:tr>
        <w:tc>
          <w:tcPr>
            <w:tcW w:type="dxa" w:w="2381"/>
            <w:tcMar>
              <w:top w:w="60" w:type="dxa"/>
              <w:bottom w:w="60" w:type="dxa"/>
              <w:left w:w="100" w:type="dxa"/>
              <w:right w:w="100" w:type="dxa"/>
            </w:tcMar>
          </w:tcPr>
          <w:p>
            <w:pPr>
              <w:pStyle w:val="Compact"/>
              <w:jc w:val="left"/>
            </w:pPr>
            <w:r>
              <w:rPr>
                <w:bCs/>
                <w:b/>
                <w:sz w:val="19"/>
              </w:rPr>
              <w:t xml:space="preserve">Agente de IA / WordPress agéntico (+)</w:t>
            </w:r>
          </w:p>
        </w:tc>
        <w:tc>
          <w:tcPr>
            <w:tcW w:type="dxa" w:w="7257"/>
            <w:tcMar>
              <w:top w:w="60" w:type="dxa"/>
              <w:bottom w:w="60" w:type="dxa"/>
              <w:left w:w="100" w:type="dxa"/>
              <w:right w:w="100" w:type="dxa"/>
            </w:tcMar>
          </w:tcPr>
          <w:p>
            <w:pPr>
              <w:pStyle w:val="Compact"/>
              <w:jc w:val="left"/>
            </w:pPr>
            <w:r>
              <w:rPr>
                <w:sz w:val="19"/>
              </w:rPr>
              <w:t xml:space="preserve">Modelo de IA que actúa con autonomía acotada (leer el proyecto, proponer y aplicar cambios, ajustar</w:t>
            </w:r>
            <w:r>
              <w:rPr>
                <w:sz w:val="19"/>
              </w:rPr>
              <w:t xml:space="preserve"> </w:t>
            </w:r>
            <w:r>
              <w:rPr>
                <w:rStyle w:val="VerbatimChar"/>
                <w:sz w:val="19"/>
              </w:rPr>
              <w:t xml:space="preserve">theme.json</w:t>
            </w:r>
            <w:r>
              <w:rPr>
                <w:sz w:val="19"/>
              </w:rPr>
              <w:t xml:space="preserve">, crear patrones), siempre bajo permisos mínimos y validación humana en las fases críticas.</w:t>
            </w:r>
          </w:p>
        </w:tc>
      </w:tr>
      <w:tr>
        <w:tc>
          <w:tcPr>
            <w:tcW w:type="dxa" w:w="2381"/>
            <w:tcMar>
              <w:top w:w="60" w:type="dxa"/>
              <w:bottom w:w="60" w:type="dxa"/>
              <w:left w:w="100" w:type="dxa"/>
              <w:right w:w="100" w:type="dxa"/>
            </w:tcMar>
          </w:tcPr>
          <w:p>
            <w:pPr>
              <w:pStyle w:val="Compact"/>
              <w:jc w:val="left"/>
            </w:pPr>
            <w:r>
              <w:rPr>
                <w:rStyle w:val="VerbatimChar"/>
                <w:bCs/>
                <w:b/>
                <w:sz w:val="19"/>
              </w:rPr>
              <w:t xml:space="preserve">AGENTS.md</w:t>
            </w:r>
            <w:r>
              <w:rPr>
                <w:bCs/>
                <w:b/>
                <w:sz w:val="19"/>
              </w:rPr>
              <w:t xml:space="preserve"> </w:t>
            </w:r>
            <w:r>
              <w:rPr>
                <w:bCs/>
                <w:b/>
                <w:sz w:val="19"/>
              </w:rPr>
              <w:t xml:space="preserve">(+)</w:t>
            </w:r>
          </w:p>
        </w:tc>
        <w:tc>
          <w:tcPr>
            <w:tcW w:type="dxa" w:w="7257"/>
            <w:tcMar>
              <w:top w:w="60" w:type="dxa"/>
              <w:bottom w:w="60" w:type="dxa"/>
              <w:left w:w="100" w:type="dxa"/>
              <w:right w:w="100" w:type="dxa"/>
            </w:tcMar>
          </w:tcPr>
          <w:p>
            <w:pPr>
              <w:pStyle w:val="Compact"/>
              <w:jc w:val="left"/>
            </w:pPr>
            <w:r>
              <w:rPr>
                <w:sz w:val="19"/>
              </w:rPr>
              <w:t xml:space="preserve">Archivo de reglas del proyecto que el agente lee antes de actuar: jerarquía de decisión, límites obligatorios, seguridad y reparto de responsabilidades. Es el contrato entre el equipo y el agente.</w:t>
            </w:r>
          </w:p>
        </w:tc>
      </w:tr>
      <w:tr>
        <w:tc>
          <w:tcPr>
            <w:tcW w:type="dxa" w:w="2381"/>
            <w:tcMar>
              <w:top w:w="60" w:type="dxa"/>
              <w:bottom w:w="60" w:type="dxa"/>
              <w:left w:w="100" w:type="dxa"/>
              <w:right w:w="100" w:type="dxa"/>
            </w:tcMar>
          </w:tcPr>
          <w:p>
            <w:pPr>
              <w:pStyle w:val="Compact"/>
              <w:jc w:val="left"/>
            </w:pPr>
            <w:r>
              <w:rPr>
                <w:bCs/>
                <w:b/>
                <w:sz w:val="19"/>
              </w:rPr>
              <w:t xml:space="preserve">WordPress Agent Skills</w:t>
            </w:r>
          </w:p>
        </w:tc>
        <w:tc>
          <w:tcPr>
            <w:tcW w:type="dxa" w:w="7257"/>
            <w:tcMar>
              <w:top w:w="60" w:type="dxa"/>
              <w:bottom w:w="60" w:type="dxa"/>
              <w:left w:w="100" w:type="dxa"/>
              <w:right w:w="100" w:type="dxa"/>
            </w:tcMar>
          </w:tcPr>
          <w:p>
            <w:pPr>
              <w:pStyle w:val="Compact"/>
              <w:jc w:val="left"/>
            </w:pPr>
            <w:r>
              <w:rPr>
                <w:sz w:val="19"/>
              </w:rPr>
              <w:t xml:space="preserve">Paquetes de instrucciones, checklists y scripts mantenidos por el equipo de WordPress que dan al agente conocimiento experto actual (bloques, temas, plugins, REST, Abilities, rendimiento...). Viven en el entorno del agente, no en el sitio. No conceden permisos.</w:t>
            </w:r>
          </w:p>
        </w:tc>
      </w:tr>
      <w:tr>
        <w:tc>
          <w:tcPr>
            <w:tcW w:type="dxa" w:w="2381"/>
            <w:tcMar>
              <w:top w:w="60" w:type="dxa"/>
              <w:bottom w:w="60" w:type="dxa"/>
              <w:left w:w="100" w:type="dxa"/>
              <w:right w:w="100" w:type="dxa"/>
            </w:tcMar>
          </w:tcPr>
          <w:p>
            <w:pPr>
              <w:pStyle w:val="Compact"/>
              <w:jc w:val="left"/>
            </w:pPr>
            <w:r>
              <w:rPr>
                <w:rStyle w:val="VerbatimChar"/>
                <w:bCs/>
                <w:b/>
                <w:sz w:val="19"/>
              </w:rPr>
              <w:t xml:space="preserve">wordpress-router</w:t>
            </w:r>
          </w:p>
        </w:tc>
        <w:tc>
          <w:tcPr>
            <w:tcW w:type="dxa" w:w="7257"/>
            <w:tcMar>
              <w:top w:w="60" w:type="dxa"/>
              <w:bottom w:w="60" w:type="dxa"/>
              <w:left w:w="100" w:type="dxa"/>
              <w:right w:w="100" w:type="dxa"/>
            </w:tcMar>
          </w:tcPr>
          <w:p>
            <w:pPr>
              <w:pStyle w:val="Compact"/>
              <w:jc w:val="left"/>
            </w:pPr>
            <w:r>
              <w:rPr>
                <w:sz w:val="19"/>
              </w:rPr>
              <w:t xml:space="preserve">Una de las Agent Skills oficiales: la de entrada u orquestadora. Detecta el tipo de proyecto (Core, tema de bloques, plugin...) y deriva al agente a las skills adecuadas. No es un protocolo ni una herramienta del sitio.</w:t>
            </w:r>
          </w:p>
        </w:tc>
      </w:tr>
      <w:tr>
        <w:tc>
          <w:tcPr>
            <w:tcW w:type="dxa" w:w="2381"/>
            <w:tcMar>
              <w:top w:w="60" w:type="dxa"/>
              <w:bottom w:w="60" w:type="dxa"/>
              <w:left w:w="100" w:type="dxa"/>
              <w:right w:w="100" w:type="dxa"/>
            </w:tcMar>
          </w:tcPr>
          <w:p>
            <w:pPr>
              <w:pStyle w:val="Compact"/>
              <w:jc w:val="left"/>
            </w:pPr>
            <w:r>
              <w:rPr>
                <w:bCs/>
                <w:b/>
                <w:sz w:val="19"/>
              </w:rPr>
              <w:t xml:space="preserve">Ability (+)</w:t>
            </w:r>
          </w:p>
        </w:tc>
        <w:tc>
          <w:tcPr>
            <w:tcW w:type="dxa" w:w="7257"/>
            <w:tcMar>
              <w:top w:w="60" w:type="dxa"/>
              <w:bottom w:w="60" w:type="dxa"/>
              <w:left w:w="100" w:type="dxa"/>
              <w:right w:w="100" w:type="dxa"/>
            </w:tcMar>
          </w:tcPr>
          <w:p>
            <w:pPr>
              <w:pStyle w:val="Compact"/>
              <w:jc w:val="left"/>
            </w:pPr>
            <w:r>
              <w:rPr>
                <w:sz w:val="19"/>
              </w:rPr>
              <w:t xml:space="preserve">Operación de WordPress registrada con nombre, descripción, esquema tipado de entrada y salida y comprobación de permisos explícita, descubrible por personas y por programas.</w:t>
            </w:r>
          </w:p>
        </w:tc>
      </w:tr>
      <w:tr>
        <w:tc>
          <w:tcPr>
            <w:tcW w:type="dxa" w:w="2381"/>
            <w:tcMar>
              <w:top w:w="60" w:type="dxa"/>
              <w:bottom w:w="60" w:type="dxa"/>
              <w:left w:w="100" w:type="dxa"/>
              <w:right w:w="100" w:type="dxa"/>
            </w:tcMar>
          </w:tcPr>
          <w:p>
            <w:pPr>
              <w:pStyle w:val="Compact"/>
              <w:jc w:val="left"/>
            </w:pPr>
            <w:r>
              <w:rPr>
                <w:bCs/>
                <w:b/>
                <w:sz w:val="19"/>
              </w:rPr>
              <w:t xml:space="preserve">Abilities API (+)</w:t>
            </w:r>
          </w:p>
        </w:tc>
        <w:tc>
          <w:tcPr>
            <w:tcW w:type="dxa" w:w="7257"/>
            <w:tcMar>
              <w:top w:w="60" w:type="dxa"/>
              <w:bottom w:w="60" w:type="dxa"/>
              <w:left w:w="100" w:type="dxa"/>
              <w:right w:w="100" w:type="dxa"/>
            </w:tcMar>
          </w:tcPr>
          <w:p>
            <w:pPr>
              <w:pStyle w:val="Compact"/>
              <w:jc w:val="left"/>
            </w:pPr>
            <w:r>
              <w:rPr>
                <w:sz w:val="19"/>
              </w:rPr>
              <w:t xml:space="preserve">Registro central de abilities, incorporado al núcleo en WordPress 6.9. Permite que un agente</w:t>
            </w:r>
            <w:r>
              <w:rPr>
                <w:sz w:val="19"/>
              </w:rPr>
              <w:t xml:space="preserve"> </w:t>
            </w:r>
            <w:r>
              <w:rPr>
                <w:iCs/>
                <w:i/>
                <w:sz w:val="19"/>
              </w:rPr>
              <w:t xml:space="preserve">pregunte</w:t>
            </w:r>
            <w:r>
              <w:rPr>
                <w:sz w:val="19"/>
              </w:rPr>
              <w:t xml:space="preserve"> </w:t>
            </w:r>
            <w:r>
              <w:rPr>
                <w:sz w:val="19"/>
              </w:rPr>
              <w:t xml:space="preserve">al sitio qué sabe y qué puede hacer en vez de adivinar.</w:t>
            </w:r>
          </w:p>
        </w:tc>
      </w:tr>
      <w:tr>
        <w:tc>
          <w:tcPr>
            <w:tcW w:type="dxa" w:w="2381"/>
            <w:tcMar>
              <w:top w:w="60" w:type="dxa"/>
              <w:bottom w:w="60" w:type="dxa"/>
              <w:left w:w="100" w:type="dxa"/>
              <w:right w:w="100" w:type="dxa"/>
            </w:tcMar>
          </w:tcPr>
          <w:p>
            <w:pPr>
              <w:pStyle w:val="Compact"/>
              <w:jc w:val="left"/>
            </w:pPr>
            <w:r>
              <w:rPr>
                <w:bCs/>
                <w:b/>
                <w:sz w:val="19"/>
              </w:rPr>
              <w:t xml:space="preserve">Ability de solo lectura / contexto del sitio (+)</w:t>
            </w:r>
          </w:p>
        </w:tc>
        <w:tc>
          <w:tcPr>
            <w:tcW w:type="dxa" w:w="7257"/>
            <w:tcMar>
              <w:top w:w="60" w:type="dxa"/>
              <w:bottom w:w="60" w:type="dxa"/>
              <w:left w:w="100" w:type="dxa"/>
              <w:right w:w="100" w:type="dxa"/>
            </w:tcMar>
          </w:tcPr>
          <w:p>
            <w:pPr>
              <w:pStyle w:val="Compact"/>
              <w:jc w:val="left"/>
            </w:pPr>
            <w:r>
              <w:rPr>
                <w:sz w:val="19"/>
              </w:rPr>
              <w:t xml:space="preserve">Ability que consulta (tema activo, sistema de diseño, patrones existentes) sin modificar nada, protegida por una capacidad concreta. El agente la consulta antes de proponer cambios.</w:t>
            </w:r>
          </w:p>
        </w:tc>
      </w:tr>
      <w:tr>
        <w:tc>
          <w:tcPr>
            <w:tcW w:type="dxa" w:w="2381"/>
            <w:tcMar>
              <w:top w:w="60" w:type="dxa"/>
              <w:bottom w:w="60" w:type="dxa"/>
              <w:left w:w="100" w:type="dxa"/>
              <w:right w:w="100" w:type="dxa"/>
            </w:tcMar>
          </w:tcPr>
          <w:p>
            <w:pPr>
              <w:pStyle w:val="Compact"/>
              <w:jc w:val="left"/>
            </w:pPr>
            <w:r>
              <w:rPr>
                <w:bCs/>
                <w:b/>
                <w:sz w:val="19"/>
              </w:rPr>
              <w:t xml:space="preserve">MCP (Model Context Protocol) (+)</w:t>
            </w:r>
          </w:p>
        </w:tc>
        <w:tc>
          <w:tcPr>
            <w:tcW w:type="dxa" w:w="7257"/>
            <w:tcMar>
              <w:top w:w="60" w:type="dxa"/>
              <w:bottom w:w="60" w:type="dxa"/>
              <w:left w:w="100" w:type="dxa"/>
              <w:right w:w="100" w:type="dxa"/>
            </w:tcMar>
          </w:tcPr>
          <w:p>
            <w:pPr>
              <w:pStyle w:val="Compact"/>
              <w:jc w:val="left"/>
            </w:pPr>
            <w:r>
              <w:rPr>
                <w:sz w:val="19"/>
              </w:rPr>
              <w:t xml:space="preserve">Estándar abierto, no exclusivo de WordPress, para que un asistente de IA externo descubra y use las capacidades de una aplicación de forma estructurada y con permisos.</w:t>
            </w:r>
          </w:p>
        </w:tc>
      </w:tr>
      <w:tr>
        <w:tc>
          <w:tcPr>
            <w:tcW w:type="dxa" w:w="2381"/>
            <w:tcMar>
              <w:top w:w="60" w:type="dxa"/>
              <w:bottom w:w="60" w:type="dxa"/>
              <w:left w:w="100" w:type="dxa"/>
              <w:right w:w="100" w:type="dxa"/>
            </w:tcMar>
          </w:tcPr>
          <w:p>
            <w:pPr>
              <w:pStyle w:val="Compact"/>
              <w:jc w:val="left"/>
            </w:pPr>
            <w:r>
              <w:rPr>
                <w:bCs/>
                <w:b/>
                <w:sz w:val="19"/>
              </w:rPr>
              <w:t xml:space="preserve">MCP Adapter (+)</w:t>
            </w:r>
          </w:p>
        </w:tc>
        <w:tc>
          <w:tcPr>
            <w:tcW w:type="dxa" w:w="7257"/>
            <w:tcMar>
              <w:top w:w="60" w:type="dxa"/>
              <w:bottom w:w="60" w:type="dxa"/>
              <w:left w:w="100" w:type="dxa"/>
              <w:right w:w="100" w:type="dxa"/>
            </w:tcMar>
          </w:tcPr>
          <w:p>
            <w:pPr>
              <w:pStyle w:val="Compact"/>
              <w:jc w:val="left"/>
            </w:pPr>
            <w:r>
              <w:rPr>
                <w:sz w:val="19"/>
              </w:rPr>
              <w:t xml:space="preserve">Paquete que traduce las abilities de WordPress al protocolo MCP: las de efectos se vuelven</w:t>
            </w:r>
            <w:r>
              <w:rPr>
                <w:sz w:val="19"/>
              </w:rPr>
              <w:t xml:space="preserve"> </w:t>
            </w:r>
            <w:r>
              <w:rPr>
                <w:iCs/>
                <w:i/>
                <w:sz w:val="19"/>
              </w:rPr>
              <w:t xml:space="preserve">tools</w:t>
            </w:r>
            <w:r>
              <w:rPr>
                <w:sz w:val="19"/>
              </w:rPr>
              <w:t xml:space="preserve"> </w:t>
            </w:r>
            <w:r>
              <w:rPr>
                <w:sz w:val="19"/>
              </w:rPr>
              <w:t xml:space="preserve">y las de lectura</w:t>
            </w:r>
            <w:r>
              <w:rPr>
                <w:sz w:val="19"/>
              </w:rPr>
              <w:t xml:space="preserve"> </w:t>
            </w:r>
            <w:r>
              <w:rPr>
                <w:iCs/>
                <w:i/>
                <w:sz w:val="19"/>
              </w:rPr>
              <w:t xml:space="preserve">resources</w:t>
            </w:r>
            <w:r>
              <w:rPr>
                <w:sz w:val="19"/>
              </w:rPr>
              <w:t xml:space="preserve">. Solo expone las marcadas explícitamente como públicas y respeta sus permisos.</w:t>
            </w:r>
          </w:p>
        </w:tc>
      </w:tr>
      <w:tr>
        <w:tc>
          <w:tcPr>
            <w:tcW w:type="dxa" w:w="2381"/>
            <w:tcMar>
              <w:top w:w="60" w:type="dxa"/>
              <w:bottom w:w="60" w:type="dxa"/>
              <w:left w:w="100" w:type="dxa"/>
              <w:right w:w="100" w:type="dxa"/>
            </w:tcMar>
          </w:tcPr>
          <w:p>
            <w:pPr>
              <w:pStyle w:val="Compact"/>
              <w:jc w:val="left"/>
            </w:pPr>
            <w:r>
              <w:rPr>
                <w:bCs/>
                <w:b/>
                <w:sz w:val="19"/>
              </w:rPr>
              <w:t xml:space="preserve">Acceso al proyecto frente a acceso remoto (+)</w:t>
            </w:r>
          </w:p>
        </w:tc>
        <w:tc>
          <w:tcPr>
            <w:tcW w:type="dxa" w:w="7257"/>
            <w:tcMar>
              <w:top w:w="60" w:type="dxa"/>
              <w:bottom w:w="60" w:type="dxa"/>
              <w:left w:w="100" w:type="dxa"/>
              <w:right w:w="100" w:type="dxa"/>
            </w:tcMar>
          </w:tcPr>
          <w:p>
            <w:pPr>
              <w:pStyle w:val="Compact"/>
              <w:jc w:val="left"/>
            </w:pPr>
            <w:r>
              <w:rPr>
                <w:sz w:val="19"/>
              </w:rPr>
              <w:t xml:space="preserve">Las dos formas de conectar un agente con un sitio: con la carpeta de la instalación abierta (entornos locales) o por MCP/API remota (sitios publicados sin acceso a archivos).</w:t>
            </w:r>
          </w:p>
        </w:tc>
      </w:tr>
      <w:tr>
        <w:tc>
          <w:tcPr>
            <w:tcW w:type="dxa" w:w="2381"/>
            <w:tcMar>
              <w:top w:w="60" w:type="dxa"/>
              <w:bottom w:w="60" w:type="dxa"/>
              <w:left w:w="100" w:type="dxa"/>
              <w:right w:w="100" w:type="dxa"/>
            </w:tcMar>
          </w:tcPr>
          <w:p>
            <w:pPr>
              <w:pStyle w:val="Compact"/>
              <w:jc w:val="left"/>
            </w:pPr>
            <w:r>
              <w:rPr>
                <w:bCs/>
                <w:b/>
                <w:sz w:val="19"/>
              </w:rPr>
              <w:t xml:space="preserve">Entorno efímero (+)</w:t>
            </w:r>
          </w:p>
        </w:tc>
        <w:tc>
          <w:tcPr>
            <w:tcW w:type="dxa" w:w="7257"/>
            <w:tcMar>
              <w:top w:w="60" w:type="dxa"/>
              <w:bottom w:w="60" w:type="dxa"/>
              <w:left w:w="100" w:type="dxa"/>
              <w:right w:w="100" w:type="dxa"/>
            </w:tcMar>
          </w:tcPr>
          <w:p>
            <w:pPr>
              <w:pStyle w:val="Compact"/>
              <w:jc w:val="left"/>
            </w:pPr>
            <w:r>
              <w:rPr>
                <w:sz w:val="19"/>
              </w:rPr>
              <w:t xml:space="preserve">Instalación de WordPress que nace para una tarea concreta, se configura automáticamente y se destruye sin dejar rastro; ideal para que un agente pruebe código sin riesgo.</w:t>
            </w:r>
          </w:p>
        </w:tc>
      </w:tr>
    </w:tbl>
    <w:bookmarkEnd w:id="36"/>
    <w:bookmarkStart w:id="37" w:name="nivel-6--operación-y-producción"/>
    <w:p>
      <w:pPr>
        <w:pStyle w:val="Heading3"/>
      </w:pPr>
      <w:r>
        <w:t xml:space="preserve">Nivel 6 — Operación y producción</w:t>
      </w:r>
    </w:p>
    <w:tbl>
      <w:tblPr>
        <w:tblStyle w:val="Table"/>
        <w:tblLook w:firstRow="1" w:lastRow="0" w:firstColumn="0" w:lastColumn="0" w:noHBand="0" w:noVBand="0" w:val="0020"/>
        <w:jc w:val="start"/>
        <w:tblBorders>
          <w:top w:val="single" w:sz="4" w:color="D9D2C3"/>
          <w:left w:val="single" w:sz="4" w:color="D9D2C3"/>
          <w:bottom w:val="single" w:sz="4" w:color="D9D2C3"/>
          <w:right w:val="single" w:sz="4" w:color="D9D2C3"/>
          <w:insideH w:val="single" w:sz="4" w:color="D9D2C3"/>
          <w:insideV w:val="single" w:sz="4" w:color="D9D2C3"/>
        </w:tblBorders>
        <w:tblW w:w="5000" w:type="pct"/>
        <w:tblLayout w:type="fixed"/>
      </w:tblPr>
      <w:tblGrid>
        <w:gridCol w:w="2381"/>
        <w:gridCol w:w="7256"/>
      </w:tblGrid>
      <w:tr>
        <w:trPr>
          <w:tblHeader w:val="true"/>
        </w:trPr>
        <w:tc>
          <w:tcPr>
            <w:tcW w:type="dxa" w:w="2381"/>
            <w:shd w:val="clear" w:fill="F3EFE8"/>
            <w:tcMar>
              <w:top w:w="60" w:type="dxa"/>
              <w:bottom w:w="60" w:type="dxa"/>
              <w:left w:w="100" w:type="dxa"/>
              <w:right w:w="100" w:type="dxa"/>
            </w:tcMar>
          </w:tcPr>
          <w:p>
            <w:pPr>
              <w:pStyle w:val="Compact"/>
              <w:jc w:val="left"/>
            </w:pPr>
            <w:r>
              <w:rPr>
                <w:b/>
                <w:sz w:val="19"/>
              </w:rPr>
              <w:t xml:space="preserve">Término</w:t>
            </w:r>
          </w:p>
        </w:tc>
        <w:tc>
          <w:tcPr>
            <w:tcW w:type="dxa" w:w="7257"/>
            <w:shd w:val="clear" w:fill="F3EFE8"/>
            <w:tcMar>
              <w:top w:w="60" w:type="dxa"/>
              <w:bottom w:w="60" w:type="dxa"/>
              <w:left w:w="100" w:type="dxa"/>
              <w:right w:w="100" w:type="dxa"/>
            </w:tcMar>
          </w:tcPr>
          <w:p>
            <w:pPr>
              <w:pStyle w:val="Compact"/>
              <w:jc w:val="left"/>
            </w:pPr>
            <w:r>
              <w:rPr>
                <w:b/>
                <w:sz w:val="19"/>
              </w:rPr>
              <w:t xml:space="preserve">Definición</w:t>
            </w:r>
          </w:p>
        </w:tc>
      </w:tr>
      <w:tr>
        <w:tc>
          <w:tcPr>
            <w:tcW w:type="dxa" w:w="2381"/>
            <w:tcMar>
              <w:top w:w="60" w:type="dxa"/>
              <w:bottom w:w="60" w:type="dxa"/>
              <w:left w:w="100" w:type="dxa"/>
              <w:right w:w="100" w:type="dxa"/>
            </w:tcMar>
          </w:tcPr>
          <w:p>
            <w:pPr>
              <w:pStyle w:val="Compact"/>
              <w:jc w:val="left"/>
            </w:pPr>
            <w:r>
              <w:rPr>
                <w:bCs/>
                <w:b/>
                <w:sz w:val="19"/>
              </w:rPr>
              <w:t xml:space="preserve">CI/CD (+)</w:t>
            </w:r>
          </w:p>
        </w:tc>
        <w:tc>
          <w:tcPr>
            <w:tcW w:type="dxa" w:w="7257"/>
            <w:tcMar>
              <w:top w:w="60" w:type="dxa"/>
              <w:bottom w:w="60" w:type="dxa"/>
              <w:left w:w="100" w:type="dxa"/>
              <w:right w:w="100" w:type="dxa"/>
            </w:tcMar>
          </w:tcPr>
          <w:p>
            <w:pPr>
              <w:pStyle w:val="Compact"/>
              <w:jc w:val="left"/>
            </w:pPr>
            <w:r>
              <w:rPr>
                <w:sz w:val="19"/>
              </w:rPr>
              <w:t xml:space="preserve">Integración y despliegue continuo: el código se verifica y empaqueta de forma automática y se despliega como artefacto reproducible, con posibilidad de retroceder.</w:t>
            </w:r>
          </w:p>
        </w:tc>
      </w:tr>
      <w:tr>
        <w:tc>
          <w:tcPr>
            <w:tcW w:type="dxa" w:w="2381"/>
            <w:tcMar>
              <w:top w:w="60" w:type="dxa"/>
              <w:bottom w:w="60" w:type="dxa"/>
              <w:left w:w="100" w:type="dxa"/>
              <w:right w:w="100" w:type="dxa"/>
            </w:tcMar>
          </w:tcPr>
          <w:p>
            <w:pPr>
              <w:pStyle w:val="Compact"/>
              <w:jc w:val="left"/>
            </w:pPr>
            <w:r>
              <w:rPr>
                <w:bCs/>
                <w:b/>
                <w:sz w:val="19"/>
              </w:rPr>
              <w:t xml:space="preserve">Caché de página, de objetos y en el borde (+)</w:t>
            </w:r>
          </w:p>
        </w:tc>
        <w:tc>
          <w:tcPr>
            <w:tcW w:type="dxa" w:w="7257"/>
            <w:tcMar>
              <w:top w:w="60" w:type="dxa"/>
              <w:bottom w:w="60" w:type="dxa"/>
              <w:left w:w="100" w:type="dxa"/>
              <w:right w:w="100" w:type="dxa"/>
            </w:tcMar>
          </w:tcPr>
          <w:p>
            <w:pPr>
              <w:pStyle w:val="Compact"/>
              <w:jc w:val="left"/>
            </w:pPr>
            <w:r>
              <w:rPr>
                <w:sz w:val="19"/>
              </w:rPr>
              <w:t xml:space="preserve">Tres capas de caché con funciones distintas: página completa renderizada, resultados de consultas en memoria (Redis, Memcached) y CDN.</w:t>
            </w:r>
          </w:p>
        </w:tc>
      </w:tr>
      <w:tr>
        <w:tc>
          <w:tcPr>
            <w:tcW w:type="dxa" w:w="2381"/>
            <w:tcMar>
              <w:top w:w="60" w:type="dxa"/>
              <w:bottom w:w="60" w:type="dxa"/>
              <w:left w:w="100" w:type="dxa"/>
              <w:right w:w="100" w:type="dxa"/>
            </w:tcMar>
          </w:tcPr>
          <w:p>
            <w:pPr>
              <w:pStyle w:val="Compact"/>
              <w:jc w:val="left"/>
            </w:pPr>
            <w:r>
              <w:rPr>
                <w:bCs/>
                <w:b/>
                <w:sz w:val="19"/>
              </w:rPr>
              <w:t xml:space="preserve">Verificación con evidencia (+)</w:t>
            </w:r>
          </w:p>
        </w:tc>
        <w:tc>
          <w:tcPr>
            <w:tcW w:type="dxa" w:w="7257"/>
            <w:tcMar>
              <w:top w:w="60" w:type="dxa"/>
              <w:bottom w:w="60" w:type="dxa"/>
              <w:left w:w="100" w:type="dxa"/>
              <w:right w:w="100" w:type="dxa"/>
            </w:tcMar>
          </w:tcPr>
          <w:p>
            <w:pPr>
              <w:pStyle w:val="Compact"/>
              <w:jc w:val="left"/>
            </w:pPr>
            <w:r>
              <w:rPr>
                <w:sz w:val="19"/>
              </w:rPr>
              <w:t xml:space="preserve">Principio de cierre: una tarea o una fase no se declara completada sin evidencia comprobable de sus criterios de aceptación.</w:t>
            </w:r>
          </w:p>
        </w:tc>
      </w:tr>
    </w:tbl>
    <w:bookmarkEnd w:id="37"/>
    <w:bookmarkEnd w:id="38"/>
    <w:bookmarkStart w:id="39" w:name="X760d949d6fb23904d01cd276c10acab6b886b61"/>
    <w:p>
      <w:pPr>
        <w:pStyle w:val="Heading2"/>
      </w:pPr>
      <w:r>
        <w:t xml:space="preserve">5. Índice de la formación (propuesta v2)</w:t>
      </w:r>
    </w:p>
    <w:p>
      <w:pPr>
        <w:pStyle w:val="FirstParagraph"/>
      </w:pPr>
      <w:r>
        <w:t xml:space="preserve">Se añade un Módulo 0 previo y se reordena el resto para que el contenido de IA descanse sobre las reglas del Módulo 0.</w:t>
      </w:r>
    </w:p>
    <w:tbl>
      <w:tblPr>
        <w:tblStyle w:val="Table"/>
        <w:tblLook w:firstRow="1" w:lastRow="0" w:firstColumn="0" w:lastColumn="0" w:noHBand="0" w:noVBand="0" w:val="0020"/>
        <w:jc w:val="start"/>
        <w:tblBorders>
          <w:top w:val="single" w:sz="4" w:color="D9D2C3"/>
          <w:left w:val="single" w:sz="4" w:color="D9D2C3"/>
          <w:bottom w:val="single" w:sz="4" w:color="D9D2C3"/>
          <w:right w:val="single" w:sz="4" w:color="D9D2C3"/>
          <w:insideH w:val="single" w:sz="4" w:color="D9D2C3"/>
          <w:insideV w:val="single" w:sz="4" w:color="D9D2C3"/>
        </w:tblBorders>
        <w:tblW w:w="5000" w:type="pct"/>
        <w:tblLayout w:type="fixed"/>
      </w:tblPr>
      <w:tblGrid>
        <w:gridCol w:w="1020"/>
        <w:gridCol w:w="2040"/>
        <w:gridCol w:w="3968"/>
        <w:gridCol w:w="2607"/>
      </w:tblGrid>
      <w:tr>
        <w:trPr>
          <w:tblHeader w:val="true"/>
        </w:trPr>
        <w:tc>
          <w:tcPr>
            <w:tcW w:type="dxa" w:w="1020"/>
            <w:shd w:val="clear" w:fill="F3EFE8"/>
            <w:tcMar>
              <w:top w:w="60" w:type="dxa"/>
              <w:bottom w:w="60" w:type="dxa"/>
              <w:left w:w="100" w:type="dxa"/>
              <w:right w:w="100" w:type="dxa"/>
            </w:tcMar>
          </w:tcPr>
          <w:p>
            <w:pPr>
              <w:pStyle w:val="Compact"/>
              <w:jc w:val="left"/>
            </w:pPr>
            <w:r>
              <w:rPr>
                <w:b/>
                <w:sz w:val="19"/>
              </w:rPr>
              <w:t xml:space="preserve">Módulo</w:t>
            </w:r>
          </w:p>
        </w:tc>
        <w:tc>
          <w:tcPr>
            <w:tcW w:type="dxa" w:w="2041"/>
            <w:shd w:val="clear" w:fill="F3EFE8"/>
            <w:tcMar>
              <w:top w:w="60" w:type="dxa"/>
              <w:bottom w:w="60" w:type="dxa"/>
              <w:left w:w="100" w:type="dxa"/>
              <w:right w:w="100" w:type="dxa"/>
            </w:tcMar>
          </w:tcPr>
          <w:p>
            <w:pPr>
              <w:pStyle w:val="Compact"/>
              <w:jc w:val="left"/>
            </w:pPr>
            <w:r>
              <w:rPr>
                <w:b/>
                <w:sz w:val="19"/>
              </w:rPr>
              <w:t xml:space="preserve">Título</w:t>
            </w:r>
          </w:p>
        </w:tc>
        <w:tc>
          <w:tcPr>
            <w:tcW w:type="dxa" w:w="3969"/>
            <w:shd w:val="clear" w:fill="F3EFE8"/>
            <w:tcMar>
              <w:top w:w="60" w:type="dxa"/>
              <w:bottom w:w="60" w:type="dxa"/>
              <w:left w:w="100" w:type="dxa"/>
              <w:right w:w="100" w:type="dxa"/>
            </w:tcMar>
          </w:tcPr>
          <w:p>
            <w:pPr>
              <w:pStyle w:val="Compact"/>
              <w:jc w:val="left"/>
            </w:pPr>
            <w:r>
              <w:rPr>
                <w:b/>
                <w:sz w:val="19"/>
              </w:rPr>
              <w:t xml:space="preserve">Lecciones</w:t>
            </w:r>
          </w:p>
        </w:tc>
        <w:tc>
          <w:tcPr>
            <w:tcW w:type="dxa" w:w="2608"/>
            <w:shd w:val="clear" w:fill="F3EFE8"/>
            <w:tcMar>
              <w:top w:w="60" w:type="dxa"/>
              <w:bottom w:w="60" w:type="dxa"/>
              <w:left w:w="100" w:type="dxa"/>
              <w:right w:w="100" w:type="dxa"/>
            </w:tcMar>
          </w:tcPr>
          <w:p>
            <w:pPr>
              <w:pStyle w:val="Compact"/>
              <w:jc w:val="left"/>
            </w:pPr>
            <w:r>
              <w:rPr>
                <w:b/>
                <w:sz w:val="19"/>
              </w:rPr>
              <w:t xml:space="preserve">Resultado esperado</w:t>
            </w:r>
          </w:p>
        </w:tc>
      </w:tr>
      <w:tr>
        <w:tc>
          <w:tcPr>
            <w:tcW w:type="dxa" w:w="1020"/>
            <w:tcMar>
              <w:top w:w="60" w:type="dxa"/>
              <w:bottom w:w="60" w:type="dxa"/>
              <w:left w:w="100" w:type="dxa"/>
              <w:right w:w="100" w:type="dxa"/>
            </w:tcMar>
          </w:tcPr>
          <w:p>
            <w:pPr>
              <w:pStyle w:val="Compact"/>
              <w:jc w:val="left"/>
            </w:pPr>
            <w:r>
              <w:rPr>
                <w:bCs/>
                <w:b/>
                <w:sz w:val="19"/>
              </w:rPr>
              <w:t xml:space="preserve">0</w:t>
            </w:r>
          </w:p>
        </w:tc>
        <w:tc>
          <w:tcPr>
            <w:tcW w:type="dxa" w:w="2041"/>
            <w:tcMar>
              <w:top w:w="60" w:type="dxa"/>
              <w:bottom w:w="60" w:type="dxa"/>
              <w:left w:w="100" w:type="dxa"/>
              <w:right w:w="100" w:type="dxa"/>
            </w:tcMar>
          </w:tcPr>
          <w:p>
            <w:pPr>
              <w:pStyle w:val="Compact"/>
              <w:jc w:val="left"/>
            </w:pPr>
            <w:r>
              <w:rPr>
                <w:sz w:val="19"/>
              </w:rPr>
              <w:t xml:space="preserve">Principios y lenguaje común</w:t>
            </w:r>
          </w:p>
        </w:tc>
        <w:tc>
          <w:tcPr>
            <w:tcW w:type="dxa" w:w="3969"/>
            <w:tcMar>
              <w:top w:w="60" w:type="dxa"/>
              <w:bottom w:w="60" w:type="dxa"/>
              <w:left w:w="100" w:type="dxa"/>
              <w:right w:w="100" w:type="dxa"/>
            </w:tcMar>
          </w:tcPr>
          <w:p>
            <w:pPr>
              <w:pStyle w:val="Compact"/>
              <w:jc w:val="left"/>
            </w:pPr>
            <w:r>
              <w:rPr>
                <w:sz w:val="19"/>
              </w:rPr>
              <w:t xml:space="preserve">0.1 WordPress como framework; 0.2 La jerarquía de decisión; 0.3 Tema frente a plugin; 0.4 Gobernanza y honestidad técnica; 0.5 Glosario por capas</w:t>
            </w:r>
          </w:p>
        </w:tc>
        <w:tc>
          <w:tcPr>
            <w:tcW w:type="dxa" w:w="2608"/>
            <w:tcMar>
              <w:top w:w="60" w:type="dxa"/>
              <w:bottom w:w="60" w:type="dxa"/>
              <w:left w:w="100" w:type="dxa"/>
              <w:right w:w="100" w:type="dxa"/>
            </w:tcMar>
          </w:tcPr>
          <w:p>
            <w:pPr>
              <w:pStyle w:val="Compact"/>
              <w:jc w:val="left"/>
            </w:pPr>
            <w:r>
              <w:rPr>
                <w:sz w:val="19"/>
              </w:rPr>
              <w:t xml:space="preserve">El alumno razona con el mismo criterio y vocabulario que el resto del curso</w:t>
            </w:r>
          </w:p>
        </w:tc>
      </w:tr>
      <w:tr>
        <w:tc>
          <w:tcPr>
            <w:tcW w:type="dxa" w:w="1020"/>
            <w:tcMar>
              <w:top w:w="60" w:type="dxa"/>
              <w:bottom w:w="60" w:type="dxa"/>
              <w:left w:w="100" w:type="dxa"/>
              <w:right w:w="100" w:type="dxa"/>
            </w:tcMar>
          </w:tcPr>
          <w:p>
            <w:pPr>
              <w:pStyle w:val="Compact"/>
              <w:jc w:val="left"/>
            </w:pPr>
            <w:r>
              <w:rPr>
                <w:bCs/>
                <w:b/>
                <w:sz w:val="19"/>
              </w:rPr>
              <w:t xml:space="preserve">1</w:t>
            </w:r>
          </w:p>
        </w:tc>
        <w:tc>
          <w:tcPr>
            <w:tcW w:type="dxa" w:w="2041"/>
            <w:tcMar>
              <w:top w:w="60" w:type="dxa"/>
              <w:bottom w:w="60" w:type="dxa"/>
              <w:left w:w="100" w:type="dxa"/>
              <w:right w:w="100" w:type="dxa"/>
            </w:tcMar>
          </w:tcPr>
          <w:p>
            <w:pPr>
              <w:pStyle w:val="Compact"/>
              <w:jc w:val="left"/>
            </w:pPr>
            <w:r>
              <w:rPr>
                <w:sz w:val="19"/>
              </w:rPr>
              <w:t xml:space="preserve">Paradigma y arquitectura base</w:t>
            </w:r>
          </w:p>
        </w:tc>
        <w:tc>
          <w:tcPr>
            <w:tcW w:type="dxa" w:w="3969"/>
            <w:tcMar>
              <w:top w:w="60" w:type="dxa"/>
              <w:bottom w:w="60" w:type="dxa"/>
              <w:left w:w="100" w:type="dxa"/>
              <w:right w:w="100" w:type="dxa"/>
            </w:tcMar>
          </w:tcPr>
          <w:p>
            <w:pPr>
              <w:pStyle w:val="Compact"/>
              <w:jc w:val="left"/>
            </w:pPr>
            <w:r>
              <w:rPr>
                <w:sz w:val="19"/>
              </w:rPr>
              <w:t xml:space="preserve">1.1 Anatomía de WordPress moderno; 1.2 Fin de los temas clásicos: introducción a FSE; 1.3 Headless y arquitecturas desacopladas</w:t>
            </w:r>
          </w:p>
        </w:tc>
        <w:tc>
          <w:tcPr>
            <w:tcW w:type="dxa" w:w="2608"/>
            <w:tcMar>
              <w:top w:w="60" w:type="dxa"/>
              <w:bottom w:w="60" w:type="dxa"/>
              <w:left w:w="100" w:type="dxa"/>
              <w:right w:w="100" w:type="dxa"/>
            </w:tcMar>
          </w:tcPr>
          <w:p>
            <w:pPr>
              <w:pStyle w:val="Compact"/>
              <w:jc w:val="left"/>
            </w:pPr>
            <w:r>
              <w:rPr>
                <w:sz w:val="19"/>
              </w:rPr>
              <w:t xml:space="preserve">Distingue qué parte del sitio es Core, tema, plugin y contenido</w:t>
            </w:r>
          </w:p>
        </w:tc>
      </w:tr>
      <w:tr>
        <w:tc>
          <w:tcPr>
            <w:tcW w:type="dxa" w:w="1020"/>
            <w:tcMar>
              <w:top w:w="60" w:type="dxa"/>
              <w:bottom w:w="60" w:type="dxa"/>
              <w:left w:w="100" w:type="dxa"/>
              <w:right w:w="100" w:type="dxa"/>
            </w:tcMar>
          </w:tcPr>
          <w:p>
            <w:pPr>
              <w:pStyle w:val="Compact"/>
              <w:jc w:val="left"/>
            </w:pPr>
            <w:r>
              <w:rPr>
                <w:bCs/>
                <w:b/>
                <w:sz w:val="19"/>
              </w:rPr>
              <w:t xml:space="preserve">2</w:t>
            </w:r>
          </w:p>
        </w:tc>
        <w:tc>
          <w:tcPr>
            <w:tcW w:type="dxa" w:w="2041"/>
            <w:tcMar>
              <w:top w:w="60" w:type="dxa"/>
              <w:bottom w:w="60" w:type="dxa"/>
              <w:left w:w="100" w:type="dxa"/>
              <w:right w:w="100" w:type="dxa"/>
            </w:tcMar>
          </w:tcPr>
          <w:p>
            <w:pPr>
              <w:pStyle w:val="Compact"/>
              <w:jc w:val="left"/>
            </w:pPr>
            <w:r>
              <w:rPr>
                <w:sz w:val="19"/>
              </w:rPr>
              <w:t xml:space="preserve">Diseño estandarizado sin código</w:t>
            </w:r>
          </w:p>
        </w:tc>
        <w:tc>
          <w:tcPr>
            <w:tcW w:type="dxa" w:w="3969"/>
            <w:tcMar>
              <w:top w:w="60" w:type="dxa"/>
              <w:bottom w:w="60" w:type="dxa"/>
              <w:left w:w="100" w:type="dxa"/>
              <w:right w:w="100" w:type="dxa"/>
            </w:tcMar>
          </w:tcPr>
          <w:p>
            <w:pPr>
              <w:pStyle w:val="Compact"/>
              <w:jc w:val="left"/>
            </w:pPr>
            <w:r>
              <w:rPr>
                <w:sz w:val="19"/>
              </w:rPr>
              <w:t xml:space="preserve">2.1 El Site Editor y la jerarquía de plantillas; 2.2</w:t>
            </w:r>
            <w:r>
              <w:rPr>
                <w:sz w:val="19"/>
              </w:rPr>
              <w:t xml:space="preserve"> </w:t>
            </w:r>
            <w:r>
              <w:rPr>
                <w:rStyle w:val="VerbatimChar"/>
                <w:sz w:val="19"/>
              </w:rPr>
              <w:t xml:space="preserve">theme.json</w:t>
            </w:r>
            <w:r>
              <w:rPr>
                <w:sz w:val="19"/>
              </w:rPr>
              <w:t xml:space="preserve"> </w:t>
            </w:r>
            <w:r>
              <w:rPr>
                <w:sz w:val="19"/>
              </w:rPr>
              <w:t xml:space="preserve">como fuente de verdad; 2.3 Patrones de bloques; 2.4 De la maqueta al sistema de diseño</w:t>
            </w:r>
          </w:p>
        </w:tc>
        <w:tc>
          <w:tcPr>
            <w:tcW w:type="dxa" w:w="2608"/>
            <w:tcMar>
              <w:top w:w="60" w:type="dxa"/>
              <w:bottom w:w="60" w:type="dxa"/>
              <w:left w:w="100" w:type="dxa"/>
              <w:right w:w="100" w:type="dxa"/>
            </w:tcMar>
          </w:tcPr>
          <w:p>
            <w:pPr>
              <w:pStyle w:val="Compact"/>
              <w:jc w:val="left"/>
            </w:pPr>
            <w:r>
              <w:rPr>
                <w:sz w:val="19"/>
              </w:rPr>
              <w:t xml:space="preserve">Construye y mantiene un sitio coherente sin CSS suelto</w:t>
            </w:r>
          </w:p>
        </w:tc>
      </w:tr>
      <w:tr>
        <w:tc>
          <w:tcPr>
            <w:tcW w:type="dxa" w:w="1020"/>
            <w:tcMar>
              <w:top w:w="60" w:type="dxa"/>
              <w:bottom w:w="60" w:type="dxa"/>
              <w:left w:w="100" w:type="dxa"/>
              <w:right w:w="100" w:type="dxa"/>
            </w:tcMar>
          </w:tcPr>
          <w:p>
            <w:pPr>
              <w:pStyle w:val="Compact"/>
              <w:jc w:val="left"/>
            </w:pPr>
            <w:r>
              <w:rPr>
                <w:bCs/>
                <w:b/>
                <w:sz w:val="19"/>
              </w:rPr>
              <w:t xml:space="preserve">3</w:t>
            </w:r>
          </w:p>
        </w:tc>
        <w:tc>
          <w:tcPr>
            <w:tcW w:type="dxa" w:w="2041"/>
            <w:tcMar>
              <w:top w:w="60" w:type="dxa"/>
              <w:bottom w:w="60" w:type="dxa"/>
              <w:left w:w="100" w:type="dxa"/>
              <w:right w:w="100" w:type="dxa"/>
            </w:tcMar>
          </w:tcPr>
          <w:p>
            <w:pPr>
              <w:pStyle w:val="Compact"/>
              <w:jc w:val="left"/>
            </w:pPr>
            <w:r>
              <w:rPr>
                <w:sz w:val="19"/>
              </w:rPr>
              <w:t xml:space="preserve">Desarrollo modular de componentes</w:t>
            </w:r>
          </w:p>
        </w:tc>
        <w:tc>
          <w:tcPr>
            <w:tcW w:type="dxa" w:w="3969"/>
            <w:tcMar>
              <w:top w:w="60" w:type="dxa"/>
              <w:bottom w:w="60" w:type="dxa"/>
              <w:left w:w="100" w:type="dxa"/>
              <w:right w:w="100" w:type="dxa"/>
            </w:tcMar>
          </w:tcPr>
          <w:p>
            <w:pPr>
              <w:pStyle w:val="Compact"/>
              <w:jc w:val="left"/>
            </w:pPr>
            <w:r>
              <w:rPr>
                <w:sz w:val="19"/>
              </w:rPr>
              <w:t xml:space="preserve">3.1 Entornos locales y efímeros; 3.2 Anatomía de un bloque y</w:t>
            </w:r>
            <w:r>
              <w:rPr>
                <w:sz w:val="19"/>
              </w:rPr>
              <w:t xml:space="preserve"> </w:t>
            </w:r>
            <w:r>
              <w:rPr>
                <w:rStyle w:val="VerbatimChar"/>
                <w:sz w:val="19"/>
              </w:rPr>
              <w:t xml:space="preserve">block.json</w:t>
            </w:r>
            <w:r>
              <w:rPr>
                <w:sz w:val="19"/>
              </w:rPr>
              <w:t xml:space="preserve">; 3.3 Cuándo desarrollar un bloque propio y cuándo no</w:t>
            </w:r>
          </w:p>
        </w:tc>
        <w:tc>
          <w:tcPr>
            <w:tcW w:type="dxa" w:w="2608"/>
            <w:tcMar>
              <w:top w:w="60" w:type="dxa"/>
              <w:bottom w:w="60" w:type="dxa"/>
              <w:left w:w="100" w:type="dxa"/>
              <w:right w:w="100" w:type="dxa"/>
            </w:tcMar>
          </w:tcPr>
          <w:p>
            <w:pPr>
              <w:pStyle w:val="Compact"/>
              <w:jc w:val="left"/>
            </w:pPr>
            <w:r>
              <w:rPr>
                <w:sz w:val="19"/>
              </w:rPr>
              <w:t xml:space="preserve">Decide con criterio entre bloque nativo, patrón y bloque propio</w:t>
            </w:r>
          </w:p>
        </w:tc>
      </w:tr>
      <w:tr>
        <w:tc>
          <w:tcPr>
            <w:tcW w:type="dxa" w:w="1020"/>
            <w:tcMar>
              <w:top w:w="60" w:type="dxa"/>
              <w:bottom w:w="60" w:type="dxa"/>
              <w:left w:w="100" w:type="dxa"/>
              <w:right w:w="100" w:type="dxa"/>
            </w:tcMar>
          </w:tcPr>
          <w:p>
            <w:pPr>
              <w:pStyle w:val="Compact"/>
              <w:jc w:val="left"/>
            </w:pPr>
            <w:r>
              <w:rPr>
                <w:bCs/>
                <w:b/>
                <w:sz w:val="19"/>
              </w:rPr>
              <w:t xml:space="preserve">4</w:t>
            </w:r>
          </w:p>
        </w:tc>
        <w:tc>
          <w:tcPr>
            <w:tcW w:type="dxa" w:w="2041"/>
            <w:tcMar>
              <w:top w:w="60" w:type="dxa"/>
              <w:bottom w:w="60" w:type="dxa"/>
              <w:left w:w="100" w:type="dxa"/>
              <w:right w:w="100" w:type="dxa"/>
            </w:tcMar>
          </w:tcPr>
          <w:p>
            <w:pPr>
              <w:pStyle w:val="Compact"/>
              <w:jc w:val="left"/>
            </w:pPr>
            <w:r>
              <w:rPr>
                <w:sz w:val="19"/>
              </w:rPr>
              <w:t xml:space="preserve">Datos, lógica y reactividad</w:t>
            </w:r>
          </w:p>
        </w:tc>
        <w:tc>
          <w:tcPr>
            <w:tcW w:type="dxa" w:w="3969"/>
            <w:tcMar>
              <w:top w:w="60" w:type="dxa"/>
              <w:bottom w:w="60" w:type="dxa"/>
              <w:left w:w="100" w:type="dxa"/>
              <w:right w:w="100" w:type="dxa"/>
            </w:tcMar>
          </w:tcPr>
          <w:p>
            <w:pPr>
              <w:pStyle w:val="Compact"/>
              <w:jc w:val="left"/>
            </w:pPr>
            <w:r>
              <w:rPr>
                <w:sz w:val="19"/>
              </w:rPr>
              <w:t xml:space="preserve">4.1 Interactivity API; 4.2 REST API; 4.3 Funciones nativas frente a SQL</w:t>
            </w:r>
          </w:p>
        </w:tc>
        <w:tc>
          <w:tcPr>
            <w:tcW w:type="dxa" w:w="2608"/>
            <w:tcMar>
              <w:top w:w="60" w:type="dxa"/>
              <w:bottom w:w="60" w:type="dxa"/>
              <w:left w:w="100" w:type="dxa"/>
              <w:right w:w="100" w:type="dxa"/>
            </w:tcMar>
          </w:tcPr>
          <w:p>
            <w:pPr>
              <w:pStyle w:val="Compact"/>
              <w:jc w:val="left"/>
            </w:pPr>
            <w:r>
              <w:rPr>
                <w:sz w:val="19"/>
              </w:rPr>
              <w:t xml:space="preserve">Implementa interacción y consultas respetando la jerarquía</w:t>
            </w:r>
          </w:p>
        </w:tc>
      </w:tr>
      <w:tr>
        <w:tc>
          <w:tcPr>
            <w:tcW w:type="dxa" w:w="1020"/>
            <w:tcMar>
              <w:top w:w="60" w:type="dxa"/>
              <w:bottom w:w="60" w:type="dxa"/>
              <w:left w:w="100" w:type="dxa"/>
              <w:right w:w="100" w:type="dxa"/>
            </w:tcMar>
          </w:tcPr>
          <w:p>
            <w:pPr>
              <w:pStyle w:val="Compact"/>
              <w:jc w:val="left"/>
            </w:pPr>
            <w:r>
              <w:rPr>
                <w:bCs/>
                <w:b/>
                <w:sz w:val="19"/>
              </w:rPr>
              <w:t xml:space="preserve">5</w:t>
            </w:r>
          </w:p>
        </w:tc>
        <w:tc>
          <w:tcPr>
            <w:tcW w:type="dxa" w:w="2041"/>
            <w:tcMar>
              <w:top w:w="60" w:type="dxa"/>
              <w:bottom w:w="60" w:type="dxa"/>
              <w:left w:w="100" w:type="dxa"/>
              <w:right w:w="100" w:type="dxa"/>
            </w:tcMar>
          </w:tcPr>
          <w:p>
            <w:pPr>
              <w:pStyle w:val="Compact"/>
              <w:jc w:val="left"/>
            </w:pPr>
            <w:r>
              <w:rPr>
                <w:sz w:val="19"/>
              </w:rPr>
              <w:t xml:space="preserve">Agentes de IA en WordPress</w:t>
            </w:r>
          </w:p>
        </w:tc>
        <w:tc>
          <w:tcPr>
            <w:tcW w:type="dxa" w:w="3969"/>
            <w:tcMar>
              <w:top w:w="60" w:type="dxa"/>
              <w:bottom w:w="60" w:type="dxa"/>
              <w:left w:w="100" w:type="dxa"/>
              <w:right w:w="100" w:type="dxa"/>
            </w:tcMar>
          </w:tcPr>
          <w:p>
            <w:pPr>
              <w:pStyle w:val="Compact"/>
              <w:jc w:val="left"/>
            </w:pPr>
            <w:r>
              <w:rPr>
                <w:sz w:val="19"/>
              </w:rPr>
              <w:t xml:space="preserve">5.1 Cómo «piensa» un agente; 5.2</w:t>
            </w:r>
            <w:r>
              <w:rPr>
                <w:sz w:val="19"/>
              </w:rPr>
              <w:t xml:space="preserve"> </w:t>
            </w:r>
            <w:r>
              <w:rPr>
                <w:rStyle w:val="VerbatimChar"/>
                <w:sz w:val="19"/>
              </w:rPr>
              <w:t xml:space="preserve">AGENTS.md</w:t>
            </w:r>
            <w:r>
              <w:rPr>
                <w:sz w:val="19"/>
              </w:rPr>
              <w:t xml:space="preserve">: reglas del proyecto; 5.3 Agent Skills y</w:t>
            </w:r>
            <w:r>
              <w:rPr>
                <w:sz w:val="19"/>
              </w:rPr>
              <w:t xml:space="preserve"> </w:t>
            </w:r>
            <w:r>
              <w:rPr>
                <w:rStyle w:val="VerbatimChar"/>
                <w:sz w:val="19"/>
              </w:rPr>
              <w:t xml:space="preserve">wordpress-router</w:t>
            </w:r>
            <w:r>
              <w:rPr>
                <w:sz w:val="19"/>
              </w:rPr>
              <w:t xml:space="preserve">; 5.4 Abilities API y contexto real del sitio; 5.5 MCP y acceso remoto; 5.6 Seguridad, permisos y operaciones destructivas</w:t>
            </w:r>
          </w:p>
        </w:tc>
        <w:tc>
          <w:tcPr>
            <w:tcW w:type="dxa" w:w="2608"/>
            <w:tcMar>
              <w:top w:w="60" w:type="dxa"/>
              <w:bottom w:w="60" w:type="dxa"/>
              <w:left w:w="100" w:type="dxa"/>
              <w:right w:w="100" w:type="dxa"/>
            </w:tcMar>
          </w:tcPr>
          <w:p>
            <w:pPr>
              <w:pStyle w:val="Compact"/>
              <w:jc w:val="left"/>
            </w:pPr>
            <w:r>
              <w:rPr>
                <w:sz w:val="19"/>
              </w:rPr>
              <w:t xml:space="preserve">Dirige a un agente con reglas, contexto y límites verificables</w:t>
            </w:r>
          </w:p>
        </w:tc>
      </w:tr>
      <w:tr>
        <w:tc>
          <w:tcPr>
            <w:tcW w:type="dxa" w:w="1020"/>
            <w:tcMar>
              <w:top w:w="60" w:type="dxa"/>
              <w:bottom w:w="60" w:type="dxa"/>
              <w:left w:w="100" w:type="dxa"/>
              <w:right w:w="100" w:type="dxa"/>
            </w:tcMar>
          </w:tcPr>
          <w:p>
            <w:pPr>
              <w:pStyle w:val="Compact"/>
              <w:jc w:val="left"/>
            </w:pPr>
            <w:r>
              <w:rPr>
                <w:bCs/>
                <w:b/>
                <w:sz w:val="19"/>
              </w:rPr>
              <w:t xml:space="preserve">6</w:t>
            </w:r>
          </w:p>
        </w:tc>
        <w:tc>
          <w:tcPr>
            <w:tcW w:type="dxa" w:w="2041"/>
            <w:tcMar>
              <w:top w:w="60" w:type="dxa"/>
              <w:bottom w:w="60" w:type="dxa"/>
              <w:left w:w="100" w:type="dxa"/>
              <w:right w:w="100" w:type="dxa"/>
            </w:tcMar>
          </w:tcPr>
          <w:p>
            <w:pPr>
              <w:pStyle w:val="Compact"/>
              <w:jc w:val="left"/>
            </w:pPr>
            <w:r>
              <w:rPr>
                <w:sz w:val="19"/>
              </w:rPr>
              <w:t xml:space="preserve">Operación y producción</w:t>
            </w:r>
            <w:r>
              <w:rPr>
                <w:sz w:val="19"/>
              </w:rPr>
              <w:t xml:space="preserve"> </w:t>
            </w:r>
            <w:r>
              <w:rPr>
                <w:iCs/>
                <w:i/>
                <w:sz w:val="19"/>
              </w:rPr>
              <w:t xml:space="preserve">(opcional)</w:t>
            </w:r>
          </w:p>
        </w:tc>
        <w:tc>
          <w:tcPr>
            <w:tcW w:type="dxa" w:w="3969"/>
            <w:tcMar>
              <w:top w:w="60" w:type="dxa"/>
              <w:bottom w:w="60" w:type="dxa"/>
              <w:left w:w="100" w:type="dxa"/>
              <w:right w:w="100" w:type="dxa"/>
            </w:tcMar>
          </w:tcPr>
          <w:p>
            <w:pPr>
              <w:pStyle w:val="Compact"/>
              <w:jc w:val="left"/>
            </w:pPr>
            <w:r>
              <w:rPr>
                <w:sz w:val="19"/>
              </w:rPr>
              <w:t xml:space="preserve">6.1 Entornos efímeros y pruebas; 6.2 CI/CD y despliegues reproducibles; 6.3 Estrategia de caché</w:t>
            </w:r>
          </w:p>
        </w:tc>
        <w:tc>
          <w:tcPr>
            <w:tcW w:type="dxa" w:w="2608"/>
            <w:tcMar>
              <w:top w:w="60" w:type="dxa"/>
              <w:bottom w:w="60" w:type="dxa"/>
              <w:left w:w="100" w:type="dxa"/>
              <w:right w:w="100" w:type="dxa"/>
            </w:tcMar>
          </w:tcPr>
          <w:p>
            <w:pPr>
              <w:pStyle w:val="Compact"/>
              <w:jc w:val="left"/>
            </w:pPr>
            <w:r>
              <w:rPr>
                <w:sz w:val="19"/>
              </w:rPr>
              <w:t xml:space="preserve">Lleva un sitio a producción de forma fiable</w:t>
            </w:r>
          </w:p>
        </w:tc>
      </w:tr>
      <w:tr>
        <w:tc>
          <w:tcPr>
            <w:tcW w:type="dxa" w:w="1020"/>
            <w:tcMar>
              <w:top w:w="60" w:type="dxa"/>
              <w:bottom w:w="60" w:type="dxa"/>
              <w:left w:w="100" w:type="dxa"/>
              <w:right w:w="100" w:type="dxa"/>
            </w:tcMar>
          </w:tcPr>
          <w:p>
            <w:pPr>
              <w:pStyle w:val="Compact"/>
              <w:jc w:val="left"/>
            </w:pPr>
            <w:r>
              <w:rPr>
                <w:bCs/>
                <w:b/>
                <w:sz w:val="19"/>
              </w:rPr>
              <w:t xml:space="preserve">Taller</w:t>
            </w:r>
          </w:p>
        </w:tc>
        <w:tc>
          <w:tcPr>
            <w:tcW w:type="dxa" w:w="2041"/>
            <w:tcMar>
              <w:top w:w="60" w:type="dxa"/>
              <w:bottom w:w="60" w:type="dxa"/>
              <w:left w:w="100" w:type="dxa"/>
              <w:right w:w="100" w:type="dxa"/>
            </w:tcMar>
          </w:tcPr>
          <w:p>
            <w:pPr>
              <w:pStyle w:val="Compact"/>
              <w:jc w:val="left"/>
            </w:pPr>
            <w:r>
              <w:rPr>
                <w:sz w:val="19"/>
              </w:rPr>
              <w:t xml:space="preserve">Proyecto final</w:t>
            </w:r>
          </w:p>
        </w:tc>
        <w:tc>
          <w:tcPr>
            <w:tcW w:type="dxa" w:w="3969"/>
            <w:tcMar>
              <w:top w:w="60" w:type="dxa"/>
              <w:bottom w:w="60" w:type="dxa"/>
              <w:left w:w="100" w:type="dxa"/>
              <w:right w:w="100" w:type="dxa"/>
            </w:tcMar>
          </w:tcPr>
          <w:p>
            <w:pPr>
              <w:pStyle w:val="Compact"/>
              <w:jc w:val="left"/>
            </w:pPr>
            <w:r>
              <w:rPr>
                <w:sz w:val="19"/>
              </w:rPr>
              <w:t xml:space="preserve">De una maqueta a un sitio de bloques editable, verificado y documentado</w:t>
            </w:r>
          </w:p>
        </w:tc>
        <w:tc>
          <w:tcPr>
            <w:tcW w:type="dxa" w:w="2608"/>
            <w:tcMar>
              <w:top w:w="60" w:type="dxa"/>
              <w:bottom w:w="60" w:type="dxa"/>
              <w:left w:w="100" w:type="dxa"/>
              <w:right w:w="100" w:type="dxa"/>
            </w:tcMar>
          </w:tcPr>
          <w:p>
            <w:pPr>
              <w:pStyle w:val="Compact"/>
              <w:jc w:val="left"/>
            </w:pPr>
            <w:r>
              <w:rPr>
                <w:sz w:val="19"/>
              </w:rPr>
              <w:t xml:space="preserve">Evidencia práctica de las competencias</w:t>
            </w:r>
          </w:p>
        </w:tc>
      </w:tr>
    </w:tbl>
    <w:bookmarkEnd w:id="39"/>
    <w:bookmarkStart w:id="43" w:name="X52703fa98717739085b37a33fb72fa40c21026e"/>
    <w:p>
      <w:pPr>
        <w:pStyle w:val="Heading2"/>
      </w:pPr>
      <w:r>
        <w:t xml:space="preserve">6. Propuestas adicionales (módulo 6, desarrollo)</w:t>
      </w:r>
    </w:p>
    <w:bookmarkStart w:id="40" w:name="Xcff086e7c6ea6bb60f718151b862d5fd34de561"/>
    <w:p>
      <w:pPr>
        <w:pStyle w:val="Heading3"/>
      </w:pPr>
      <w:r>
        <w:t xml:space="preserve">6.1 Entornos efímeros</w:t>
      </w:r>
    </w:p>
    <w:p>
      <w:pPr>
        <w:pStyle w:val="FirstParagraph"/>
      </w:pPr>
      <w:r>
        <w:t xml:space="preserve">Un entorno efímero elimina el «en mi máquina funciona»: se crea, se prueba y se destruye. Opciones habituales:</w:t>
      </w:r>
    </w:p>
    <w:p>
      <w:pPr>
        <w:numPr>
          <w:ilvl w:val="0"/>
          <w:numId w:val="1005"/>
        </w:numPr>
        <w:pStyle w:val="Compact"/>
      </w:pPr>
      <w:r>
        <w:rPr>
          <w:rStyle w:val="VerbatimChar"/>
          <w:bCs/>
          <w:b/>
        </w:rPr>
        <w:t xml:space="preserve">@wordpress/env</w:t>
      </w:r>
      <w:r>
        <w:rPr>
          <w:bCs/>
          <w:b/>
        </w:rPr>
        <w:t xml:space="preserve"> </w:t>
      </w:r>
      <w:r>
        <w:rPr>
          <w:bCs/>
          <w:b/>
        </w:rPr>
        <w:t xml:space="preserve">(wp-env):</w:t>
      </w:r>
      <w:r>
        <w:t xml:space="preserve"> </w:t>
      </w:r>
      <w:r>
        <w:t xml:space="preserve">levanta WordPress en Docker con una versión de WordPress y PHP exactas. Un</w:t>
      </w:r>
      <w:r>
        <w:t xml:space="preserve"> </w:t>
      </w:r>
      <w:r>
        <w:rPr>
          <w:rStyle w:val="VerbatimChar"/>
        </w:rPr>
        <w:t xml:space="preserve">wp-env.json</w:t>
      </w:r>
      <w:r>
        <w:t xml:space="preserve"> </w:t>
      </w:r>
      <w:r>
        <w:t xml:space="preserve">en la raíz declara versión, plugins, temas y puerto;</w:t>
      </w:r>
      <w:r>
        <w:t xml:space="preserve"> </w:t>
      </w:r>
      <w:r>
        <w:rPr>
          <w:rStyle w:val="VerbatimChar"/>
        </w:rPr>
        <w:t xml:space="preserve">npx wp-env start</w:t>
      </w:r>
      <w:r>
        <w:t xml:space="preserve"> </w:t>
      </w:r>
      <w:r>
        <w:t xml:space="preserve">lo arranca y</w:t>
      </w:r>
      <w:r>
        <w:t xml:space="preserve"> </w:t>
      </w:r>
      <w:r>
        <w:rPr>
          <w:rStyle w:val="VerbatimChar"/>
        </w:rPr>
        <w:t xml:space="preserve">npx wp-env destroy</w:t>
      </w:r>
      <w:r>
        <w:t xml:space="preserve"> </w:t>
      </w:r>
      <w:r>
        <w:t xml:space="preserve">lo elimina.</w:t>
      </w:r>
    </w:p>
    <w:p>
      <w:pPr>
        <w:numPr>
          <w:ilvl w:val="0"/>
          <w:numId w:val="1005"/>
        </w:numPr>
        <w:pStyle w:val="Compact"/>
      </w:pPr>
      <w:r>
        <w:rPr>
          <w:bCs/>
          <w:b/>
        </w:rPr>
        <w:t xml:space="preserve">WordPress Playground:</w:t>
      </w:r>
      <w:r>
        <w:t xml:space="preserve"> </w:t>
      </w:r>
      <w:r>
        <w:t xml:space="preserve">WordPress ejecutándose en WebAssembly con SQLite, en el navegador o en Node, sin Docker ni MySQL. Es especialmente útil para que un agente pruebe un bloque en segundos y entregue un enlace temporal. La herramienta de línea de comandos ha cambiado de nombre con el tiempo: comprobar la vigente antes de impartir.</w:t>
      </w:r>
    </w:p>
    <w:p>
      <w:pPr>
        <w:pStyle w:val="FirstParagraph"/>
      </w:pPr>
      <w:r>
        <w:t xml:space="preserve">Un ejemplo de</w:t>
      </w:r>
      <w:r>
        <w:t xml:space="preserve"> </w:t>
      </w:r>
      <w:r>
        <w:rPr>
          <w:rStyle w:val="VerbatimChar"/>
        </w:rPr>
        <w:t xml:space="preserve">wp-env.json</w:t>
      </w:r>
      <w:r>
        <w:t xml:space="preserve"> </w:t>
      </w:r>
      <w:r>
        <w:t xml:space="preserve">(las versiones deben fijarse a las que use el proyecto, no a</w:t>
      </w:r>
      <w:r>
        <w:t xml:space="preserve"> </w:t>
      </w:r>
      <w:r>
        <w:rPr>
          <w:rStyle w:val="VerbatimChar"/>
        </w:rPr>
        <w:t xml:space="preserve">master</w:t>
      </w:r>
      <w:r>
        <w:t xml:space="preserve"> </w:t>
      </w:r>
      <w:r>
        <w:t xml:space="preserve">salvo que se pruebe contra desarrollo):</w:t>
      </w:r>
    </w:p>
    <w:p>
      <w:pPr>
        <w:pStyle w:val="SourceCode"/>
        <w:shd w:val="clear" w:fill="F3EFE8"/>
      </w:pPr>
      <w:r>
        <w:rPr>
          <w:rStyle w:val="FunctionTok"/>
        </w:rPr>
        <w:t xml:space="preserve">{</w:t>
      </w:r>
      <w:r>
        <w:br/>
      </w:r>
      <w:r>
        <w:rPr>
          <w:rStyle w:val="NormalTok"/>
        </w:rPr>
        <w:t xml:space="preserve">  </w:t>
      </w:r>
      <w:r>
        <w:rPr>
          <w:rStyle w:val="DataTypeTok"/>
        </w:rPr>
        <w:t xml:space="preserve">"core"</w:t>
      </w:r>
      <w:r>
        <w:rPr>
          <w:rStyle w:val="FunctionTok"/>
        </w:rPr>
        <w:t xml:space="preserve">:</w:t>
      </w:r>
      <w:r>
        <w:rPr>
          <w:rStyle w:val="NormalTok"/>
        </w:rPr>
        <w:t xml:space="preserve"> </w:t>
      </w:r>
      <w:r>
        <w:rPr>
          <w:rStyle w:val="StringTok"/>
        </w:rPr>
        <w:t xml:space="preserve">"WordPress/WordPress"</w:t>
      </w:r>
      <w:r>
        <w:rPr>
          <w:rStyle w:val="FunctionTok"/>
        </w:rPr>
        <w:t xml:space="preserve">,</w:t>
      </w:r>
      <w:r>
        <w:br/>
      </w:r>
      <w:r>
        <w:rPr>
          <w:rStyle w:val="NormalTok"/>
        </w:rPr>
        <w:t xml:space="preserve">  </w:t>
      </w:r>
      <w:r>
        <w:rPr>
          <w:rStyle w:val="DataTypeTok"/>
        </w:rPr>
        <w:t xml:space="preserve">"phpVersion"</w:t>
      </w:r>
      <w:r>
        <w:rPr>
          <w:rStyle w:val="FunctionTok"/>
        </w:rPr>
        <w:t xml:space="preserve">:</w:t>
      </w:r>
      <w:r>
        <w:rPr>
          <w:rStyle w:val="NormalTok"/>
        </w:rPr>
        <w:t xml:space="preserve"> </w:t>
      </w:r>
      <w:r>
        <w:rPr>
          <w:rStyle w:val="StringTok"/>
        </w:rPr>
        <w:t xml:space="preserve">"8.2"</w:t>
      </w:r>
      <w:r>
        <w:rPr>
          <w:rStyle w:val="FunctionTok"/>
        </w:rPr>
        <w:t xml:space="preserve">,</w:t>
      </w:r>
      <w:r>
        <w:br/>
      </w:r>
      <w:r>
        <w:rPr>
          <w:rStyle w:val="NormalTok"/>
        </w:rPr>
        <w:t xml:space="preserve">  </w:t>
      </w:r>
      <w:r>
        <w:rPr>
          <w:rStyle w:val="DataTypeTok"/>
        </w:rPr>
        <w:t xml:space="preserve">"plugins"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"port"</w:t>
      </w:r>
      <w:r>
        <w:rPr>
          <w:rStyle w:val="FunctionTok"/>
        </w:rPr>
        <w:t xml:space="preserve">:</w:t>
      </w:r>
      <w:r>
        <w:rPr>
          <w:rStyle w:val="NormalTok"/>
        </w:rPr>
        <w:t xml:space="preserve"> </w:t>
      </w:r>
      <w:r>
        <w:rPr>
          <w:rStyle w:val="DecValTok"/>
        </w:rPr>
        <w:t xml:space="preserve">8888</w:t>
      </w:r>
      <w:r>
        <w:br/>
      </w:r>
      <w:r>
        <w:rPr>
          <w:rStyle w:val="FunctionTok"/>
        </w:rPr>
        <w:t xml:space="preserve">}</w:t>
      </w:r>
    </w:p>
    <w:bookmarkEnd w:id="40"/>
    <w:bookmarkStart w:id="41" w:name="X91253f8096d2682cd5c888cd7d8c0d919130b28"/>
    <w:p>
      <w:pPr>
        <w:pStyle w:val="Heading3"/>
      </w:pPr>
      <w:r>
        <w:t xml:space="preserve">6.2 CI/CD</w:t>
      </w:r>
    </w:p>
    <w:p>
      <w:pPr>
        <w:pStyle w:val="FirstParagraph"/>
      </w:pPr>
      <w:r>
        <w:t xml:space="preserve">Flujo moderno: se sube el código al repositorio; un pipeline (GitHub Actions) ejecuta análisis de estándares (PHP CodeSniffer), compila los bloques, genera un artefacto sin archivos de desarrollo y lo despliega con posibilidad de retroceso. Regla útil:</w:t>
      </w:r>
      <w:r>
        <w:t xml:space="preserve"> </w:t>
      </w:r>
      <w:r>
        <w:rPr>
          <w:bCs/>
          <w:b/>
        </w:rPr>
        <w:t xml:space="preserve">el código de producción no se edita a mano</w:t>
      </w:r>
      <w:r>
        <w:t xml:space="preserve">. Matiz importante: esta regla se refiere al</w:t>
      </w:r>
      <w:r>
        <w:t xml:space="preserve"> </w:t>
      </w:r>
      <w:r>
        <w:rPr>
          <w:iCs/>
          <w:i/>
        </w:rPr>
        <w:t xml:space="preserve">código</w:t>
      </w:r>
      <w:r>
        <w:t xml:space="preserve">. El contenido y los ajustes del sitio sí se editan en producción (desde el Site Editor o por un agente con permisos acotados), y la formación debe dejar claro qué cambios viajan por el repositorio y cuáles por el sitio.</w:t>
      </w:r>
    </w:p>
    <w:bookmarkEnd w:id="41"/>
    <w:bookmarkStart w:id="42" w:name="X3226e04260f30707d3e77f8d702f446ba369a88"/>
    <w:p>
      <w:pPr>
        <w:pStyle w:val="Heading3"/>
      </w:pPr>
      <w:r>
        <w:t xml:space="preserve">6.3 Caché</w:t>
      </w:r>
    </w:p>
    <w:p>
      <w:pPr>
        <w:numPr>
          <w:ilvl w:val="0"/>
          <w:numId w:val="1006"/>
        </w:numPr>
        <w:pStyle w:val="Compact"/>
      </w:pPr>
      <w:r>
        <w:rPr>
          <w:bCs/>
          <w:b/>
        </w:rPr>
        <w:t xml:space="preserve">Caché de página y borde (CDN):</w:t>
      </w:r>
      <w:r>
        <w:t xml:space="preserve"> </w:t>
      </w:r>
      <w:r>
        <w:t xml:space="preserve">sirve la página ya renderizada desde un nodo cercano al usuario.</w:t>
      </w:r>
    </w:p>
    <w:p>
      <w:pPr>
        <w:numPr>
          <w:ilvl w:val="0"/>
          <w:numId w:val="1006"/>
        </w:numPr>
        <w:pStyle w:val="Compact"/>
      </w:pPr>
      <w:r>
        <w:rPr>
          <w:bCs/>
          <w:b/>
        </w:rPr>
        <w:t xml:space="preserve">Caché de objetos (Redis, Memcached):</w:t>
      </w:r>
      <w:r>
        <w:t xml:space="preserve"> </w:t>
      </w:r>
      <w:r>
        <w:t xml:space="preserve">guarda resultados de consultas en memoria para no repetirlas contra la base de datos.</w:t>
      </w:r>
    </w:p>
    <w:p>
      <w:pPr>
        <w:numPr>
          <w:ilvl w:val="0"/>
          <w:numId w:val="1006"/>
        </w:numPr>
        <w:pStyle w:val="Compact"/>
      </w:pPr>
      <w:r>
        <w:rPr>
          <w:bCs/>
          <w:b/>
        </w:rPr>
        <w:t xml:space="preserve">Con Interactivity API:</w:t>
      </w:r>
      <w:r>
        <w:t xml:space="preserve"> </w:t>
      </w:r>
      <w:r>
        <w:t xml:space="preserve">el HTML base se cachea y los datos dependientes del usuario se resuelven aparte.</w:t>
      </w:r>
    </w:p>
    <w:bookmarkEnd w:id="42"/>
    <w:bookmarkEnd w:id="43"/>
    <w:bookmarkStart w:id="44" w:name="X0eec2c85505c3090deba1aa48f4e1102a370f17"/>
    <w:p>
      <w:pPr>
        <w:pStyle w:val="Heading2"/>
      </w:pPr>
      <w:r>
        <w:t xml:space="preserve">7. Verificaciones pendientes y mantenimiento</w:t>
      </w:r>
    </w:p>
    <w:p>
      <w:pPr>
        <w:pStyle w:val="FirstParagraph"/>
      </w:pPr>
      <w:r>
        <w:t xml:space="preserve">Antes de impartir este material hay que comprobar, con fuente oficial y fecha:</w:t>
      </w:r>
    </w:p>
    <w:p>
      <w:pPr>
        <w:numPr>
          <w:ilvl w:val="0"/>
          <w:numId w:val="1007"/>
        </w:numPr>
        <w:pStyle w:val="Compact"/>
      </w:pPr>
      <w:r>
        <w:t xml:space="preserve">Número y contenido exacto de las Agent Skills oficiales (la distribución v1 lista 17; el proyecto tiene instaladas 19 en una revisión fijada) y que</w:t>
      </w:r>
      <w:r>
        <w:t xml:space="preserve"> </w:t>
      </w:r>
      <w:r>
        <w:rPr>
          <w:rStyle w:val="VerbatimChar"/>
        </w:rPr>
        <w:t xml:space="preserve">wordpress-router</w:t>
      </w:r>
      <w:r>
        <w:t xml:space="preserve"> </w:t>
      </w:r>
      <w:r>
        <w:t xml:space="preserve">figura entre ellas.</w:t>
      </w:r>
    </w:p>
    <w:p>
      <w:pPr>
        <w:numPr>
          <w:ilvl w:val="0"/>
          <w:numId w:val="1007"/>
        </w:numPr>
        <w:pStyle w:val="Compact"/>
      </w:pPr>
      <w:r>
        <w:t xml:space="preserve">Estado de las abilities de lectura del núcleo (</w:t>
      </w:r>
      <w:r>
        <w:rPr>
          <w:rStyle w:val="VerbatimChar"/>
        </w:rPr>
        <w:t xml:space="preserve">core/read-*</w:t>
      </w:r>
      <w:r>
        <w:t xml:space="preserve">), aplazadas a WordPress 7.2 a fecha de la última revisión, y del MCP Adapter.</w:t>
      </w:r>
    </w:p>
    <w:p>
      <w:pPr>
        <w:numPr>
          <w:ilvl w:val="0"/>
          <w:numId w:val="1007"/>
        </w:numPr>
        <w:pStyle w:val="Compact"/>
      </w:pPr>
      <w:r>
        <w:t xml:space="preserve">Versión vigente de</w:t>
      </w:r>
      <w:r>
        <w:t xml:space="preserve"> </w:t>
      </w:r>
      <w:r>
        <w:rPr>
          <w:rStyle w:val="VerbatimChar"/>
        </w:rPr>
        <w:t xml:space="preserve">theme.json</w:t>
      </w:r>
      <w:r>
        <w:t xml:space="preserve"> </w:t>
      </w:r>
      <w:r>
        <w:t xml:space="preserve">y de la API de bloques.</w:t>
      </w:r>
    </w:p>
    <w:p>
      <w:pPr>
        <w:numPr>
          <w:ilvl w:val="0"/>
          <w:numId w:val="1007"/>
        </w:numPr>
        <w:pStyle w:val="Compact"/>
      </w:pPr>
      <w:r>
        <w:t xml:space="preserve">Herramienta vigente de línea de comandos de WordPress Playground y su nombre.</w:t>
      </w:r>
    </w:p>
    <w:p>
      <w:pPr>
        <w:numPr>
          <w:ilvl w:val="0"/>
          <w:numId w:val="1007"/>
        </w:numPr>
        <w:pStyle w:val="Compact"/>
      </w:pPr>
      <w:r>
        <w:t xml:space="preserve">Cualquier cifra de rendimiento («pocos kilobytes», «máxima velocidad») debe medirse o eliminarse.</w:t>
      </w:r>
    </w:p>
    <w:p>
      <w:pPr>
        <w:pStyle w:val="FirstParagraph"/>
      </w:pPr>
      <w:r>
        <w:t xml:space="preserve">Este documento se revisa cada vez que cambie el estado de una pieza oficial recogida en</w:t>
      </w:r>
      <w:r>
        <w:t xml:space="preserve"> </w:t>
      </w:r>
      <w:r>
        <w:rPr>
          <w:rStyle w:val="VerbatimChar"/>
        </w:rPr>
        <w:t xml:space="preserve">fundamentos-wordpress-avanzado.md</w:t>
      </w:r>
      <w:r>
        <w:t xml:space="preserve">. Cada revisión debe registrar su fecha.</w:t>
      </w:r>
    </w:p>
    <w:bookmarkEnd w:id="44"/>
    <w:bookmarkStart w:id="45" w:name="X1f8676b2345350058c44502028cbf704e768d5a"/>
    <w:p>
      <w:pPr>
        <w:pStyle w:val="Heading2"/>
      </w:pPr>
      <w:r>
        <w:t xml:space="preserve">8. Cambios respecto al informe original</w:t>
      </w:r>
    </w:p>
    <w:p>
      <w:pPr>
        <w:numPr>
          <w:ilvl w:val="0"/>
          <w:numId w:val="1008"/>
        </w:numPr>
        <w:pStyle w:val="Compact"/>
      </w:pPr>
      <w:r>
        <w:t xml:space="preserve">Se sustituye la «Prohibición» del CSS por una jerarquía de decisión con CSS localizado.</w:t>
      </w:r>
    </w:p>
    <w:p>
      <w:pPr>
        <w:numPr>
          <w:ilvl w:val="0"/>
          <w:numId w:val="1008"/>
        </w:numPr>
        <w:pStyle w:val="Compact"/>
      </w:pPr>
      <w:r>
        <w:t xml:space="preserve">Se corrige</w:t>
      </w:r>
      <w:r>
        <w:t xml:space="preserve"> </w:t>
      </w:r>
      <w:r>
        <w:rPr>
          <w:rStyle w:val="VerbatimChar"/>
        </w:rPr>
        <w:t xml:space="preserve">wordpress-router</w:t>
      </w:r>
      <w:r>
        <w:t xml:space="preserve">: es una skill, no un protocolo.</w:t>
      </w:r>
    </w:p>
    <w:p>
      <w:pPr>
        <w:numPr>
          <w:ilvl w:val="0"/>
          <w:numId w:val="1008"/>
        </w:numPr>
        <w:pStyle w:val="Compact"/>
      </w:pPr>
      <w:r>
        <w:t xml:space="preserve">Se desambigua «Core» y se añaden Abilities API, MCP, MCP Adapter,</w:t>
      </w:r>
      <w:r>
        <w:t xml:space="preserve"> </w:t>
      </w:r>
      <w:r>
        <w:rPr>
          <w:rStyle w:val="VerbatimChar"/>
        </w:rPr>
        <w:t xml:space="preserve">AGENTS.md</w:t>
      </w:r>
      <w:r>
        <w:t xml:space="preserve">, maqueta, tema de bloques y Site Editor.</w:t>
      </w:r>
    </w:p>
    <w:p>
      <w:pPr>
        <w:numPr>
          <w:ilvl w:val="0"/>
          <w:numId w:val="1008"/>
        </w:numPr>
        <w:pStyle w:val="Compact"/>
      </w:pPr>
      <w:r>
        <w:t xml:space="preserve">Se matiza la regla de «producción de solo lectura» para distinguir código de contenido.</w:t>
      </w:r>
    </w:p>
    <w:p>
      <w:pPr>
        <w:numPr>
          <w:ilvl w:val="0"/>
          <w:numId w:val="1008"/>
        </w:numPr>
        <w:pStyle w:val="Compact"/>
      </w:pPr>
      <w:r>
        <w:t xml:space="preserve">Se corrige el ejemplo de Interactivity API (contexto con helper,</w:t>
      </w:r>
      <w:r>
        <w:t xml:space="preserve"> </w:t>
      </w:r>
      <w:r>
        <w:rPr>
          <w:rStyle w:val="VerbatimChar"/>
        </w:rPr>
        <w:t xml:space="preserve">block.json</w:t>
      </w:r>
      <w:r>
        <w:t xml:space="preserve"> </w:t>
      </w:r>
      <w:r>
        <w:t xml:space="preserve">completo) y se elimina la promesa de «100 % compatible con caché».</w:t>
      </w:r>
    </w:p>
    <w:p>
      <w:pPr>
        <w:numPr>
          <w:ilvl w:val="0"/>
          <w:numId w:val="1008"/>
        </w:numPr>
        <w:pStyle w:val="Compact"/>
      </w:pPr>
      <w:r>
        <w:t xml:space="preserve">Se eliminan las marcas de cita no trazables del original y se retiran las cifras no medidas.</w:t>
      </w:r>
    </w:p>
    <w:bookmarkEnd w:id="45"/>
    <w:bookmarkEnd w:id="46"/>
    <w:sectPr>
      <w:pgSz w:w="11906" w:h="16838"/>
      <w:pgMar w:left="1134" w:right="1134" w:top="1134" w:bottom="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hAnsi="Calibri" w:cs="Calibri" w:eastAsia="Calibri"/>
      <w:sz w:val="21"/>
    </w:rPr>
  </w:style>
  <w:style w:styleId="BodyText" w:type="paragraph">
    <w:name w:val="Body Text"/>
    <w:basedOn w:val="Normal"/>
    <w:link w:val="BodyTextChar"/>
    <w:pPr>
      <w:spacing w:after="180" w:before="180"/>
    </w:pPr>
    <w:qFormat/>
    <w:rPr>
      <w:rFonts w:ascii="Calibri" w:hAnsi="Calibri" w:cs="Calibri" w:eastAsia="Calibri"/>
      <w:sz w:val="21"/>
    </w:rPr>
  </w:style>
  <w:style w:customStyle="1" w:styleId="FirstParagraph" w:type="paragraph">
    <w:name w:val="First Paragraph"/>
    <w:basedOn w:val="BodyText"/>
    <w:next w:val="BodyText"/>
    <w:qFormat/>
    <w:rPr>
      <w:rFonts w:ascii="Calibri" w:hAnsi="Calibri" w:cs="Calibri" w:eastAsia="Calibri"/>
      <w:sz w:val="21"/>
    </w:rPr>
  </w:style>
  <w:style w:customStyle="1" w:styleId="Compact" w:type="paragraph">
    <w:name w:val="Compact"/>
    <w:basedOn w:val="BodyText"/>
    <w:qFormat/>
    <w:pPr>
      <w:spacing w:after="36" w:before="36"/>
    </w:pPr>
    <w:rPr>
      <w:rFonts w:ascii="Calibri" w:hAnsi="Calibri" w:cs="Calibri" w:eastAsia="Calibri"/>
      <w:sz w:val="21"/>
    </w:rPr>
  </w:style>
  <w:style w:styleId="Title" w:type="paragraph">
    <w:name w:val="Title"/>
    <w:basedOn w:val="Normal"/>
    <w:next w:val="BodyText"/>
    <w:qFormat/>
    <w:pPr>
      <w:keepNext/>
      <w:keepLines/>
      <w:spacing w:after="240" w:before="480"/>
      <w:jc w:val="center"/>
    </w:pPr>
    <w:rPr>
      <w:rFonts w:ascii="Georgia" w:hAnsi="Georgia" w:cs="Georgia" w:eastAsia="Georgia"/>
      <w:b/>
      <w:bCs/>
      <w:color w:val="9A3412"/>
      <w:sz w:val="44"/>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Georgia" w:hAnsi="Georgia" w:cs="Georgia" w:eastAsia="Georgia"/>
      <w:b/>
      <w:bCs/>
      <w:color w:val="9A3412"/>
      <w:sz w:val="44"/>
      <w:szCs w:val="32"/>
    </w:rPr>
  </w:style>
  <w:style w:styleId="Heading2" w:type="paragraph">
    <w:name w:val="Heading 2"/>
    <w:basedOn w:val="Normal"/>
    <w:next w:val="BodyText"/>
    <w:uiPriority w:val="9"/>
    <w:unhideWhenUsed/>
    <w:qFormat/>
    <w:pPr>
      <w:keepNext/>
      <w:keepLines/>
      <w:spacing w:after="0" w:before="200"/>
      <w:outlineLvl w:val="1"/>
    </w:pPr>
    <w:rPr>
      <w:rFonts w:ascii="Georgia" w:hAnsi="Georgia" w:cs="Georgia" w:eastAsia="Georgia"/>
      <w:b/>
      <w:bCs/>
      <w:color w:val="16181D"/>
      <w:sz w:val="32"/>
      <w:szCs w:val="28"/>
    </w:rPr>
  </w:style>
  <w:style w:styleId="Heading3" w:type="paragraph">
    <w:name w:val="Heading 3"/>
    <w:basedOn w:val="Normal"/>
    <w:next w:val="BodyText"/>
    <w:uiPriority w:val="9"/>
    <w:unhideWhenUsed/>
    <w:qFormat/>
    <w:pPr>
      <w:keepNext/>
      <w:keepLines/>
      <w:spacing w:after="0" w:before="200"/>
      <w:outlineLvl w:val="2"/>
    </w:pPr>
    <w:rPr>
      <w:rFonts w:ascii="Georgia" w:hAnsi="Georgia" w:cs="Georgia" w:eastAsia="Georgia"/>
      <w:b/>
      <w:bCs/>
      <w:color w:val="C2410C"/>
      <w:sz w:val="26"/>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rPr>
      <w:rFonts w:ascii="Calibri" w:hAnsi="Calibri" w:cs="Calibri" w:eastAsia="Calibri"/>
      <w:sz w:val="21"/>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rPr>
      <w:rFonts w:ascii="Consolas" w:hAnsi="Consolas" w:cs="Consolas" w:eastAsia="Consolas"/>
      <w:sz w:val="18"/>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Arquitecto Experto en WordPress Moderno — Módulo 0, glosario e índice</dc:title>
  <dc:creator>JCMar</dc:creator>
  <cp:keywords/>
  <dcterms:created xsi:type="dcterms:W3CDTF">2026-10-15T17:23:41Z</dcterms:created>
  <dcterms:modified xsi:type="dcterms:W3CDTF">2026-10-15T17:23:41Z</dcterms:modified>
</cp:coreProperties>
</file>

<file path=docProps/custom.xml><?xml version="1.0" encoding="utf-8"?>
<Properties xmlns="http://schemas.openxmlformats.org/officeDocument/2006/custom-properties" xmlns:vt="http://schemas.openxmlformats.org/officeDocument/2006/docPropsVTypes"/>
</file>